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0E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锅炉环保改造项目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方案需求书</w:t>
      </w:r>
    </w:p>
    <w:p w14:paraId="2A099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一、项目简介：</w:t>
      </w:r>
    </w:p>
    <w:p w14:paraId="130AB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院现有4台荏原牌燃气锅炉4T/H（2015年投产，额定蒸汽压力1.0MPa）因氮氧化物排放较高无法达到广东省大气排放特别限制，需在2025年前完成改造或新购小型锅炉。（非供暖期日均用汽约21蒸吨，约1.5-2.2T/H。供暖期日均用汽约125蒸吨,约4-6T/H）</w:t>
      </w:r>
    </w:p>
    <w:p w14:paraId="438B3F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8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改造</w:t>
      </w:r>
      <w:r>
        <w:rPr>
          <w:rFonts w:hint="eastAsia" w:ascii="仿宋" w:hAnsi="仿宋" w:eastAsia="仿宋" w:cs="仿宋"/>
          <w:b/>
          <w:bCs/>
          <w:spacing w:val="-8"/>
          <w:sz w:val="28"/>
          <w:szCs w:val="28"/>
          <w:lang w:val="en-US" w:eastAsia="zh-CN"/>
        </w:rPr>
        <w:t>或采购新锅炉</w:t>
      </w: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后排放标准：</w:t>
      </w:r>
    </w:p>
    <w:p w14:paraId="2C3DC8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" w:firstLine="481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要求改造后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锅炉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氮氧化物的排放值低于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韶关市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环保局最新的排放标准（即氮氧化物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排放浓度小于</w:t>
      </w:r>
      <w:r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0mg/立方）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新购锅炉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锅炉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氮氧化物的排放值低于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广州市环保局最新排放标准即30mg/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立方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</w:p>
    <w:p w14:paraId="4B24F8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9"/>
          <w:sz w:val="28"/>
          <w:szCs w:val="28"/>
          <w:lang w:val="en-US" w:eastAsia="zh-CN"/>
        </w:rPr>
        <w:t>三、改造建议</w:t>
      </w:r>
      <w:r>
        <w:rPr>
          <w:rFonts w:hint="eastAsia" w:ascii="仿宋" w:hAnsi="仿宋" w:eastAsia="仿宋" w:cs="仿宋"/>
          <w:b/>
          <w:bCs/>
          <w:spacing w:val="-9"/>
          <w:sz w:val="28"/>
          <w:szCs w:val="28"/>
        </w:rPr>
        <w:t>：</w:t>
      </w:r>
    </w:p>
    <w:p w14:paraId="15CABF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default" w:ascii="仿宋" w:hAnsi="仿宋" w:eastAsia="仿宋" w:cs="仿宋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方案一：改造3台+新购1台</w:t>
      </w:r>
    </w:p>
    <w:p w14:paraId="3D5C92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低氮燃烧器改造主、辅设备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套，包括与低氮燃烧器相关的全部设计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、设备和材料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采购、供货、拆除、安装、系统调试、试验及检查、试运行、竣工验收和环保验收、培训和最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终交付使用等。</w:t>
      </w:r>
    </w:p>
    <w:p w14:paraId="31CEF1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采购1台2T燃气锅炉，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包括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土建、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全部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设备和材料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采购、供货、拆除、安装、系统调试、试验及检查、试运行、竣工验收和环保验收、培训和最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终交付使用等</w:t>
      </w:r>
    </w:p>
    <w:p w14:paraId="7991E7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方案二：改造2台+新购2台</w:t>
      </w:r>
    </w:p>
    <w:p w14:paraId="46BB3D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低氮燃烧器改造主、辅设备</w:t>
      </w:r>
      <w:r>
        <w:rPr>
          <w:rFonts w:hint="eastAsia" w:ascii="仿宋" w:hAnsi="仿宋" w:eastAsia="仿宋" w:cs="仿宋"/>
          <w:spacing w:val="-5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套，包括与低氮燃烧器相关的全部设计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、设备和材料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采购、供货、拆除、安装、系统调试、试验及检查、试运行、竣工验收和环保验收、培训和最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终交付使用等。</w:t>
      </w:r>
    </w:p>
    <w:p w14:paraId="3B912D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采购2台2T燃气锅炉，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包括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土建、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全部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设备和材料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采购、供货、拆除、安装、系统调试、试验及检查、试运行、竣工验收和环保验收、培训和最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终交付使用等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.</w:t>
      </w:r>
    </w:p>
    <w:p w14:paraId="7A8098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方案三：新购4台</w:t>
      </w:r>
    </w:p>
    <w:p w14:paraId="2B937C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采购4台2T燃气锅炉，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包括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土建、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全部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设备和材料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采购、供货、拆除、安装、系统调试、试验及检查、试运行、竣工验收和环保验收、培训和最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终交付使用等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。</w:t>
      </w:r>
    </w:p>
    <w:p w14:paraId="43EBAE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方案四：其他方案</w:t>
      </w:r>
    </w:p>
    <w:p w14:paraId="053A79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设计商提供更为优秀的布置或改造方案，在保障供汽安全的情况下，提供更高的节能经济方案。</w:t>
      </w:r>
    </w:p>
    <w:p w14:paraId="5C2129A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" w:line="240" w:lineRule="auto"/>
        <w:textAlignment w:val="auto"/>
        <w:rPr>
          <w:rFonts w:hint="eastAsia" w:ascii="仿宋" w:hAnsi="仿宋" w:eastAsia="仿宋" w:cs="仿宋"/>
          <w:b/>
          <w:bCs/>
          <w:spacing w:val="-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7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pacing w:val="-7"/>
          <w:sz w:val="28"/>
          <w:szCs w:val="28"/>
        </w:rPr>
        <w:t>产品供应范围：</w:t>
      </w:r>
    </w:p>
    <w:p w14:paraId="60BF07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现有锅炉改造要求：</w:t>
      </w:r>
    </w:p>
    <w:p w14:paraId="6EC3E4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低氮燃烧器本体、点火系统、火焰监测系统，燃烧器配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套的现场仪表、执行机构、调节风门、软连接及支吊架及配套管道等系统。</w:t>
      </w:r>
    </w:p>
    <w:p w14:paraId="70C5E3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1、对原有锅炉燃烧器进行拆除。</w:t>
      </w:r>
    </w:p>
    <w:p w14:paraId="15F892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2、对锅炉燃烧器接口法兰进行改造，新安装低氮燃烧器对接燃气管路接口。</w:t>
      </w:r>
    </w:p>
    <w:p w14:paraId="318219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3、新安装配套管路手动蝶阀及软连接。</w:t>
      </w:r>
    </w:p>
    <w:p w14:paraId="773368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4、调试新燃烧器并检测氮氧化物排放量能达到新的环保标准要求50mg以下。</w:t>
      </w:r>
    </w:p>
    <w:p w14:paraId="5700AB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5、对两台锅炉本体前端高温处进行耐火层维修处理，并刷高温银粉漆两遍。</w:t>
      </w:r>
    </w:p>
    <w:p w14:paraId="5C9614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（二）采购锅炉要求</w:t>
      </w:r>
    </w:p>
    <w:p w14:paraId="7F5003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1：供货要求</w:t>
      </w:r>
    </w:p>
    <w:p w14:paraId="6A9DB6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1.1燃气蒸汽锅炉（2T锅炉或其他型号）1-4台及配套辅机。</w:t>
      </w:r>
    </w:p>
    <w:p w14:paraId="045B62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1.2额定工作压力：1.25MPa</w:t>
      </w:r>
    </w:p>
    <w:p w14:paraId="67A7C7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1.3额定蒸发量：2t/h或其他</w:t>
      </w:r>
    </w:p>
    <w:p w14:paraId="04D4D5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1.4燃料：天然气(8400kcal)</w:t>
      </w:r>
    </w:p>
    <w:p w14:paraId="68356D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1.5设计热效率：≥97%</w:t>
      </w:r>
    </w:p>
    <w:p w14:paraId="6EDF89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1.6锅炉负荷调节范围：25%~110%</w:t>
      </w:r>
    </w:p>
    <w:p w14:paraId="5D687F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1.7锅炉烟气排放：排烟黑度≤1级林格曼黑度</w:t>
      </w:r>
    </w:p>
    <w:p w14:paraId="701D49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1.8锅炉运行外包表面温度≤环境温度+25℃</w:t>
      </w:r>
    </w:p>
    <w:p w14:paraId="04342A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1.9排烟温度≤70℃</w:t>
      </w:r>
    </w:p>
    <w:p w14:paraId="4AFAF2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1.10环保排放指标：NOx≤30mg/Nm³</w:t>
      </w:r>
    </w:p>
    <w:p w14:paraId="60FA58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1.11节能器：ND钢，翅片式</w:t>
      </w:r>
    </w:p>
    <w:p w14:paraId="396ACD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1.12燃烧器采用烟气内循环（FIR）技术，不采用烟气外循环(FGR)</w:t>
      </w:r>
    </w:p>
    <w:p w14:paraId="7CC207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2、供货范围</w:t>
      </w:r>
    </w:p>
    <w:p w14:paraId="70E438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2.1、锅炉设备的购置、安装及调试；</w:t>
      </w:r>
    </w:p>
    <w:p w14:paraId="456CE5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2.2、配套锅炉给水泵、鼓风机、节能器、燃烧器等辅机设备的购置、安装及调试；</w:t>
      </w:r>
    </w:p>
    <w:p w14:paraId="3F673C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2.3、锅炉动力管道、供水管道、排污管道、蒸汽、凝结水等所有管道系统的敷设、安装、调试；</w:t>
      </w:r>
    </w:p>
    <w:p w14:paraId="43406F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2.4、锅炉及辅机设备电控系统及电控设备的设计、购置、安装及调试；</w:t>
      </w:r>
    </w:p>
    <w:p w14:paraId="1102A2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2.5、锅炉房烟道、风道制作、安装等；</w:t>
      </w:r>
    </w:p>
    <w:p w14:paraId="66158E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2.6、锅炉基础改造及配套土建工程；</w:t>
      </w:r>
    </w:p>
    <w:p w14:paraId="11D7BB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2.7、乙方负责燃气锅炉《锅炉安装监督检验证书》和《特种设备使用登记证》的办理，并承担相关费用。</w:t>
      </w:r>
    </w:p>
    <w:p w14:paraId="6D7DBC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3、管网系统技术要求</w:t>
      </w:r>
    </w:p>
    <w:p w14:paraId="7F4265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3.1、动力管道的敷设方式为架空敷设（局部排污管道直埋敷设）。</w:t>
      </w:r>
    </w:p>
    <w:p w14:paraId="30D8DC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8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3.2、蒸汽及水管道采用20G钢材质。</w:t>
      </w:r>
    </w:p>
    <w:p w14:paraId="5E95CF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3.3、管道连接：除与设备、阀门及附件采用螺纹或法兰连接外，一律采用焊接。管道组成件的加工，制作和焊接应按（GB50235）第5、6章规定执行，本设计范围内所有的管道焊缝均应进行抽样射线照相检验，其中GC2级压力管道的焊缝抽检比例应为10%，其余管道的管道焊缝抽检比例不得小于5%，其质量等级不低于Ⅱ级的要求。</w:t>
      </w:r>
    </w:p>
    <w:p w14:paraId="5BF09C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3.4、管道的弯头采用机制或煨制弯头，弯头处的管道壁厚不小于直管段壁厚的1.1倍。其中热力管道尽量采用煨制弯头，热压机制弯头的弯曲半径不小于管道公称直径的2.5倍，煨制弯头的弯曲半径不小于管道公称直径的4倍（如现场位置受限制，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减小弯曲半径）。管件制作材质应与各类管道的选用材质一致。</w:t>
      </w:r>
    </w:p>
    <w:p w14:paraId="01AE1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、热力管道及设备均应进行保温。</w:t>
      </w:r>
    </w:p>
    <w:p w14:paraId="1A1DEE2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3" w:line="240" w:lineRule="auto"/>
        <w:textAlignment w:val="auto"/>
        <w:rPr>
          <w:rFonts w:hint="eastAsia" w:ascii="仿宋" w:hAnsi="仿宋" w:eastAsia="仿宋" w:cs="仿宋"/>
          <w:b/>
          <w:bCs/>
          <w:spacing w:val="-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设备性能技术要求表：</w:t>
      </w:r>
    </w:p>
    <w:p w14:paraId="785530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3" w:line="240" w:lineRule="auto"/>
        <w:textAlignment w:val="auto"/>
        <w:rPr>
          <w:rFonts w:hint="default" w:ascii="仿宋" w:hAnsi="仿宋" w:eastAsia="仿宋" w:cs="仿宋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（一）低氮改造要求</w:t>
      </w:r>
    </w:p>
    <w:tbl>
      <w:tblPr>
        <w:tblStyle w:val="16"/>
        <w:tblW w:w="8611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3154"/>
        <w:gridCol w:w="1336"/>
        <w:gridCol w:w="3242"/>
      </w:tblGrid>
      <w:tr w14:paraId="4C84C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79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28EE60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206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154" w:type="dxa"/>
            <w:tcBorders>
              <w:top w:val="single" w:color="000000" w:sz="8" w:space="0"/>
            </w:tcBorders>
            <w:vAlign w:val="top"/>
          </w:tcPr>
          <w:p w14:paraId="34330CB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68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项目</w:t>
            </w:r>
          </w:p>
        </w:tc>
        <w:tc>
          <w:tcPr>
            <w:tcW w:w="1336" w:type="dxa"/>
            <w:tcBorders>
              <w:top w:val="single" w:color="000000" w:sz="8" w:space="0"/>
            </w:tcBorders>
            <w:vAlign w:val="top"/>
          </w:tcPr>
          <w:p w14:paraId="39578E0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447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3242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7ABD5E3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733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数值</w:t>
            </w:r>
          </w:p>
        </w:tc>
      </w:tr>
      <w:tr w14:paraId="32A19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0FB19B6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left="40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154" w:type="dxa"/>
            <w:vAlign w:val="top"/>
          </w:tcPr>
          <w:p w14:paraId="75BF382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auto"/>
              <w:ind w:left="38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燃烧器形式：超低氮型</w:t>
            </w:r>
          </w:p>
        </w:tc>
        <w:tc>
          <w:tcPr>
            <w:tcW w:w="1336" w:type="dxa"/>
            <w:vAlign w:val="top"/>
          </w:tcPr>
          <w:p w14:paraId="47BF1E1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240" w:lineRule="auto"/>
              <w:ind w:left="566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09DC850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auto"/>
              <w:ind w:left="157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 w14:paraId="0BA6B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5572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A1A32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39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154" w:type="dxa"/>
            <w:vAlign w:val="top"/>
          </w:tcPr>
          <w:p w14:paraId="369DB8E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240" w:lineRule="auto"/>
              <w:ind w:left="991" w:right="130" w:hanging="85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NOx排放量（过量空气基数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3.5%折算）</w:t>
            </w:r>
          </w:p>
        </w:tc>
        <w:tc>
          <w:tcPr>
            <w:tcW w:w="1336" w:type="dxa"/>
            <w:vAlign w:val="top"/>
          </w:tcPr>
          <w:p w14:paraId="5C98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3DE21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37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mg/m³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0B354DD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240" w:lineRule="auto"/>
              <w:ind w:left="246" w:right="37" w:hanging="21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(按照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韶关市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环保要求，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NOx排放低于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0N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mg/m³)</w:t>
            </w:r>
          </w:p>
        </w:tc>
      </w:tr>
      <w:tr w14:paraId="1FA49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0C404D4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ind w:left="39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154" w:type="dxa"/>
            <w:vAlign w:val="top"/>
          </w:tcPr>
          <w:p w14:paraId="17C5E0D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auto"/>
              <w:ind w:left="62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烟气排放二氧化硫</w:t>
            </w:r>
          </w:p>
        </w:tc>
        <w:tc>
          <w:tcPr>
            <w:tcW w:w="1336" w:type="dxa"/>
            <w:vAlign w:val="top"/>
          </w:tcPr>
          <w:p w14:paraId="7C52122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37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mg/m³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6A9A940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40" w:lineRule="auto"/>
              <w:ind w:left="211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≤10(在任何燃烧负荷状态)</w:t>
            </w:r>
          </w:p>
        </w:tc>
      </w:tr>
      <w:tr w14:paraId="374EA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4A2DDFA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ind w:left="386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154" w:type="dxa"/>
            <w:vAlign w:val="top"/>
          </w:tcPr>
          <w:p w14:paraId="49D1903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ind w:left="74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烟气排放颗粒物</w:t>
            </w:r>
          </w:p>
        </w:tc>
        <w:tc>
          <w:tcPr>
            <w:tcW w:w="1336" w:type="dxa"/>
            <w:vAlign w:val="top"/>
          </w:tcPr>
          <w:p w14:paraId="477E73F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ind w:left="37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mg/m³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0191056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ind w:left="271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≤5(在任何燃烧负荷状态)</w:t>
            </w:r>
          </w:p>
        </w:tc>
      </w:tr>
      <w:tr w14:paraId="5FB41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5FF324E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40" w:lineRule="auto"/>
              <w:ind w:left="39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154" w:type="dxa"/>
            <w:vAlign w:val="top"/>
          </w:tcPr>
          <w:p w14:paraId="6E9C2BC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auto"/>
              <w:ind w:left="86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汞及其化合物</w:t>
            </w:r>
          </w:p>
        </w:tc>
        <w:tc>
          <w:tcPr>
            <w:tcW w:w="1336" w:type="dxa"/>
            <w:vAlign w:val="top"/>
          </w:tcPr>
          <w:p w14:paraId="772AF8C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auto"/>
              <w:ind w:left="38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μg/m³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331C40B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line="240" w:lineRule="auto"/>
              <w:ind w:left="151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≤0.5(在任何燃烧负荷状态)</w:t>
            </w:r>
          </w:p>
        </w:tc>
      </w:tr>
      <w:tr w14:paraId="79D75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01E2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DE0E6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38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154" w:type="dxa"/>
            <w:vAlign w:val="top"/>
          </w:tcPr>
          <w:p w14:paraId="6C1CA01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uto"/>
              <w:ind w:left="1107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控制方式</w:t>
            </w:r>
          </w:p>
        </w:tc>
        <w:tc>
          <w:tcPr>
            <w:tcW w:w="1336" w:type="dxa"/>
            <w:vAlign w:val="top"/>
          </w:tcPr>
          <w:p w14:paraId="39F38CE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全自动控制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412513D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auto"/>
              <w:ind w:left="1086" w:right="250" w:hanging="97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燃烧器的控制须受控于锅炉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的总控制</w:t>
            </w:r>
          </w:p>
        </w:tc>
      </w:tr>
      <w:tr w14:paraId="05471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692CE1A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40" w:lineRule="auto"/>
              <w:ind w:left="393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154" w:type="dxa"/>
            <w:vAlign w:val="top"/>
          </w:tcPr>
          <w:p w14:paraId="5C40D97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auto"/>
              <w:ind w:left="110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调节方式</w:t>
            </w:r>
          </w:p>
        </w:tc>
        <w:tc>
          <w:tcPr>
            <w:tcW w:w="1336" w:type="dxa"/>
            <w:vAlign w:val="top"/>
          </w:tcPr>
          <w:p w14:paraId="17028E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auto"/>
              <w:ind w:left="62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01BCEF2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auto"/>
              <w:ind w:left="70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电子比例方式调节</w:t>
            </w:r>
          </w:p>
        </w:tc>
      </w:tr>
      <w:tr w14:paraId="1B7FA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553172F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8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154" w:type="dxa"/>
            <w:vAlign w:val="top"/>
          </w:tcPr>
          <w:p w14:paraId="2C71B78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auto"/>
              <w:ind w:left="112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点火方式</w:t>
            </w:r>
          </w:p>
        </w:tc>
        <w:tc>
          <w:tcPr>
            <w:tcW w:w="1336" w:type="dxa"/>
            <w:vAlign w:val="top"/>
          </w:tcPr>
          <w:p w14:paraId="1DAE2A6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auto"/>
              <w:ind w:left="62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7ED9F89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auto"/>
              <w:ind w:left="1193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自动点火</w:t>
            </w:r>
          </w:p>
        </w:tc>
      </w:tr>
      <w:tr w14:paraId="12B92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3B3AB9A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auto"/>
              <w:ind w:left="38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154" w:type="dxa"/>
            <w:vAlign w:val="top"/>
          </w:tcPr>
          <w:p w14:paraId="2E6C7B0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1107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排烟黑度</w:t>
            </w:r>
          </w:p>
        </w:tc>
        <w:tc>
          <w:tcPr>
            <w:tcW w:w="1336" w:type="dxa"/>
            <w:vAlign w:val="top"/>
          </w:tcPr>
          <w:p w14:paraId="292C60A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40" w:lineRule="auto"/>
              <w:ind w:left="326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林格曼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7E1275E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141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1级</w:t>
            </w:r>
          </w:p>
        </w:tc>
      </w:tr>
      <w:tr w14:paraId="4ED53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283C248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auto"/>
              <w:ind w:left="34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  <w:tc>
          <w:tcPr>
            <w:tcW w:w="3154" w:type="dxa"/>
            <w:vAlign w:val="top"/>
          </w:tcPr>
          <w:p w14:paraId="5727138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112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点火燃料</w:t>
            </w:r>
          </w:p>
        </w:tc>
        <w:tc>
          <w:tcPr>
            <w:tcW w:w="1336" w:type="dxa"/>
            <w:vAlign w:val="top"/>
          </w:tcPr>
          <w:p w14:paraId="164903D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40" w:lineRule="auto"/>
              <w:ind w:left="62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087A027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40" w:lineRule="auto"/>
              <w:ind w:left="127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天然气</w:t>
            </w:r>
          </w:p>
        </w:tc>
      </w:tr>
      <w:tr w14:paraId="366D5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5F1B9B3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auto"/>
              <w:ind w:left="34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11</w:t>
            </w:r>
          </w:p>
        </w:tc>
        <w:tc>
          <w:tcPr>
            <w:tcW w:w="3154" w:type="dxa"/>
            <w:vAlign w:val="top"/>
          </w:tcPr>
          <w:p w14:paraId="48B443C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110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燃烧效率</w:t>
            </w:r>
          </w:p>
        </w:tc>
        <w:tc>
          <w:tcPr>
            <w:tcW w:w="1336" w:type="dxa"/>
            <w:vAlign w:val="top"/>
          </w:tcPr>
          <w:p w14:paraId="03120E0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59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w w:val="134"/>
                <w:sz w:val="24"/>
                <w:szCs w:val="24"/>
              </w:rPr>
              <w:t>%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29CCCE7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1461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&gt;99</w:t>
            </w:r>
          </w:p>
        </w:tc>
      </w:tr>
      <w:tr w14:paraId="553C0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477160B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auto"/>
              <w:ind w:left="34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12</w:t>
            </w:r>
          </w:p>
        </w:tc>
        <w:tc>
          <w:tcPr>
            <w:tcW w:w="3154" w:type="dxa"/>
            <w:vAlign w:val="top"/>
          </w:tcPr>
          <w:p w14:paraId="196A547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40" w:lineRule="auto"/>
              <w:ind w:left="62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燃烧器负荷调节比</w:t>
            </w:r>
          </w:p>
        </w:tc>
        <w:tc>
          <w:tcPr>
            <w:tcW w:w="1336" w:type="dxa"/>
            <w:vAlign w:val="top"/>
          </w:tcPr>
          <w:p w14:paraId="5D1341B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62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6333D2C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147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1/6</w:t>
            </w:r>
          </w:p>
        </w:tc>
      </w:tr>
      <w:tr w14:paraId="5C89C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65D1426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240" w:lineRule="auto"/>
              <w:ind w:left="34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13</w:t>
            </w:r>
          </w:p>
        </w:tc>
        <w:tc>
          <w:tcPr>
            <w:tcW w:w="3154" w:type="dxa"/>
            <w:vAlign w:val="top"/>
          </w:tcPr>
          <w:p w14:paraId="159C014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auto"/>
              <w:ind w:left="110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燃烧方式</w:t>
            </w:r>
          </w:p>
        </w:tc>
        <w:tc>
          <w:tcPr>
            <w:tcW w:w="1336" w:type="dxa"/>
            <w:vAlign w:val="top"/>
          </w:tcPr>
          <w:p w14:paraId="06668A4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auto"/>
              <w:ind w:left="62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5CE4086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auto"/>
              <w:ind w:left="732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FIR或FGR技术</w:t>
            </w:r>
          </w:p>
        </w:tc>
      </w:tr>
      <w:tr w14:paraId="1E650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56167C2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240" w:lineRule="auto"/>
              <w:ind w:left="34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14</w:t>
            </w:r>
          </w:p>
        </w:tc>
        <w:tc>
          <w:tcPr>
            <w:tcW w:w="3154" w:type="dxa"/>
            <w:vAlign w:val="top"/>
          </w:tcPr>
          <w:p w14:paraId="0AED2E3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auto"/>
              <w:ind w:left="110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燃料种类</w:t>
            </w:r>
          </w:p>
        </w:tc>
        <w:tc>
          <w:tcPr>
            <w:tcW w:w="1336" w:type="dxa"/>
            <w:vAlign w:val="top"/>
          </w:tcPr>
          <w:p w14:paraId="2316251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left="49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MPa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6E9FB09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auto"/>
              <w:ind w:left="91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天然气供气压力：0.05MPa。</w:t>
            </w:r>
          </w:p>
        </w:tc>
      </w:tr>
      <w:tr w14:paraId="29191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1241627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240" w:lineRule="auto"/>
              <w:ind w:left="34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15</w:t>
            </w:r>
          </w:p>
        </w:tc>
        <w:tc>
          <w:tcPr>
            <w:tcW w:w="3154" w:type="dxa"/>
            <w:vAlign w:val="top"/>
          </w:tcPr>
          <w:p w14:paraId="0380062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4" w:line="240" w:lineRule="auto"/>
              <w:ind w:left="74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燃料低位发热量</w:t>
            </w:r>
          </w:p>
        </w:tc>
        <w:tc>
          <w:tcPr>
            <w:tcW w:w="1336" w:type="dxa"/>
            <w:vAlign w:val="top"/>
          </w:tcPr>
          <w:p w14:paraId="1F0F7C5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240" w:lineRule="auto"/>
              <w:ind w:left="318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MJ/Nm3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5D02313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240" w:lineRule="auto"/>
              <w:ind w:left="139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34.6</w:t>
            </w:r>
          </w:p>
        </w:tc>
      </w:tr>
      <w:tr w14:paraId="11BD9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79" w:type="dxa"/>
            <w:tcBorders>
              <w:left w:val="single" w:color="000000" w:sz="8" w:space="0"/>
            </w:tcBorders>
            <w:vAlign w:val="top"/>
          </w:tcPr>
          <w:p w14:paraId="2120A278">
            <w:pPr>
              <w:pStyle w:val="15"/>
              <w:spacing w:before="299" w:line="181" w:lineRule="auto"/>
              <w:ind w:left="330" w:leftChars="0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54" w:type="dxa"/>
            <w:vAlign w:val="top"/>
          </w:tcPr>
          <w:p w14:paraId="6113500E">
            <w:pPr>
              <w:pStyle w:val="15"/>
              <w:spacing w:before="301" w:line="219" w:lineRule="auto"/>
              <w:ind w:left="988" w:leftChars="0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燃烧器噪音</w:t>
            </w:r>
          </w:p>
        </w:tc>
        <w:tc>
          <w:tcPr>
            <w:tcW w:w="1336" w:type="dxa"/>
            <w:vAlign w:val="top"/>
          </w:tcPr>
          <w:p w14:paraId="06DEE869">
            <w:pPr>
              <w:pStyle w:val="15"/>
              <w:spacing w:before="280" w:line="186" w:lineRule="auto"/>
              <w:ind w:left="510" w:leftChars="0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dBA</w:t>
            </w:r>
          </w:p>
        </w:tc>
        <w:tc>
          <w:tcPr>
            <w:tcW w:w="3242" w:type="dxa"/>
            <w:tcBorders>
              <w:right w:val="single" w:color="000000" w:sz="8" w:space="0"/>
            </w:tcBorders>
            <w:vAlign w:val="top"/>
          </w:tcPr>
          <w:p w14:paraId="54EE8FD3">
            <w:pPr>
              <w:pStyle w:val="15"/>
              <w:spacing w:before="63" w:line="237" w:lineRule="auto"/>
              <w:ind w:left="1101" w:leftChars="0" w:right="174" w:rightChars="0" w:hanging="901" w:firstLineChars="0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小于等于80dBA（离噪声源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1m处测）</w:t>
            </w:r>
          </w:p>
        </w:tc>
      </w:tr>
    </w:tbl>
    <w:p w14:paraId="373AF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（二）锅炉采购需求</w:t>
      </w:r>
    </w:p>
    <w:tbl>
      <w:tblPr>
        <w:tblStyle w:val="16"/>
        <w:tblW w:w="9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169"/>
        <w:gridCol w:w="2221"/>
        <w:gridCol w:w="708"/>
        <w:gridCol w:w="708"/>
        <w:gridCol w:w="2984"/>
      </w:tblGrid>
      <w:tr w14:paraId="7326F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90" w:type="dxa"/>
            <w:vAlign w:val="top"/>
          </w:tcPr>
          <w:p w14:paraId="748C842C">
            <w:pPr>
              <w:pStyle w:val="15"/>
              <w:spacing w:before="160" w:line="221" w:lineRule="auto"/>
              <w:ind w:left="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169" w:type="dxa"/>
            <w:vAlign w:val="top"/>
          </w:tcPr>
          <w:p w14:paraId="4DDAC819">
            <w:pPr>
              <w:pStyle w:val="15"/>
              <w:spacing w:before="160" w:line="221" w:lineRule="auto"/>
              <w:ind w:left="6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设备名称</w:t>
            </w:r>
          </w:p>
        </w:tc>
        <w:tc>
          <w:tcPr>
            <w:tcW w:w="2221" w:type="dxa"/>
            <w:vAlign w:val="top"/>
          </w:tcPr>
          <w:p w14:paraId="0FAEBF3B">
            <w:pPr>
              <w:pStyle w:val="15"/>
              <w:spacing w:before="160" w:line="220" w:lineRule="auto"/>
              <w:ind w:left="6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规格型号</w:t>
            </w:r>
          </w:p>
        </w:tc>
        <w:tc>
          <w:tcPr>
            <w:tcW w:w="708" w:type="dxa"/>
            <w:vAlign w:val="top"/>
          </w:tcPr>
          <w:p w14:paraId="04B84771">
            <w:pPr>
              <w:pStyle w:val="15"/>
              <w:spacing w:before="161" w:line="220" w:lineRule="auto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708" w:type="dxa"/>
            <w:vAlign w:val="top"/>
          </w:tcPr>
          <w:p w14:paraId="495ABDAC">
            <w:pPr>
              <w:pStyle w:val="15"/>
              <w:spacing w:before="160" w:line="220" w:lineRule="auto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2984" w:type="dxa"/>
            <w:vAlign w:val="top"/>
          </w:tcPr>
          <w:p w14:paraId="71A37CEC">
            <w:pPr>
              <w:pStyle w:val="15"/>
              <w:spacing w:before="160" w:line="221" w:lineRule="auto"/>
              <w:ind w:left="12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备注</w:t>
            </w:r>
          </w:p>
        </w:tc>
      </w:tr>
      <w:tr w14:paraId="4C86C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90" w:type="dxa"/>
            <w:vAlign w:val="top"/>
          </w:tcPr>
          <w:p w14:paraId="5165DA9C">
            <w:pPr>
              <w:spacing w:line="40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3EA356A">
            <w:pPr>
              <w:pStyle w:val="15"/>
              <w:spacing w:before="78" w:line="182" w:lineRule="auto"/>
              <w:ind w:left="2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top"/>
          </w:tcPr>
          <w:p w14:paraId="10961D79">
            <w:pPr>
              <w:spacing w:line="36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30DE2D3">
            <w:pPr>
              <w:pStyle w:val="15"/>
              <w:spacing w:before="78" w:line="220" w:lineRule="auto"/>
              <w:ind w:left="3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燃气蒸汽锅炉</w:t>
            </w:r>
          </w:p>
        </w:tc>
        <w:tc>
          <w:tcPr>
            <w:tcW w:w="2221" w:type="dxa"/>
            <w:vAlign w:val="top"/>
          </w:tcPr>
          <w:p w14:paraId="75E93FAF">
            <w:pPr>
              <w:pStyle w:val="15"/>
              <w:spacing w:before="78" w:line="182" w:lineRule="auto"/>
              <w:ind w:left="39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2T或其他型号锅炉</w:t>
            </w:r>
          </w:p>
        </w:tc>
        <w:tc>
          <w:tcPr>
            <w:tcW w:w="708" w:type="dxa"/>
            <w:vAlign w:val="top"/>
          </w:tcPr>
          <w:p w14:paraId="7961A07C">
            <w:pPr>
              <w:spacing w:line="36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5FE12B">
            <w:pPr>
              <w:pStyle w:val="15"/>
              <w:spacing w:before="78" w:line="222" w:lineRule="auto"/>
              <w:ind w:left="2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top"/>
          </w:tcPr>
          <w:p w14:paraId="6EE88F45">
            <w:pPr>
              <w:spacing w:line="40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A00221E">
            <w:pPr>
              <w:pStyle w:val="15"/>
              <w:spacing w:before="78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-4</w:t>
            </w:r>
          </w:p>
        </w:tc>
        <w:tc>
          <w:tcPr>
            <w:tcW w:w="2984" w:type="dxa"/>
            <w:vAlign w:val="top"/>
          </w:tcPr>
          <w:p w14:paraId="120B7C86">
            <w:pPr>
              <w:pStyle w:val="15"/>
              <w:spacing w:before="137" w:line="219" w:lineRule="auto"/>
              <w:ind w:left="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1、有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防爆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安全措施。</w:t>
            </w:r>
          </w:p>
          <w:p w14:paraId="3D095144">
            <w:pPr>
              <w:pStyle w:val="15"/>
              <w:spacing w:before="180" w:line="22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2、尾部烟道抗腐蚀程度高。</w:t>
            </w:r>
          </w:p>
        </w:tc>
      </w:tr>
      <w:tr w14:paraId="2AC50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90" w:type="dxa"/>
            <w:vAlign w:val="top"/>
          </w:tcPr>
          <w:p w14:paraId="0945BDFD">
            <w:pPr>
              <w:spacing w:line="32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120A2CC">
            <w:pPr>
              <w:pStyle w:val="15"/>
              <w:spacing w:before="78" w:line="181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top"/>
          </w:tcPr>
          <w:p w14:paraId="2217B6A6"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D7417BE">
            <w:pPr>
              <w:pStyle w:val="15"/>
              <w:spacing w:before="78" w:line="220" w:lineRule="auto"/>
              <w:ind w:left="3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一次仪表阀门</w:t>
            </w:r>
          </w:p>
        </w:tc>
        <w:tc>
          <w:tcPr>
            <w:tcW w:w="2221" w:type="dxa"/>
            <w:vAlign w:val="top"/>
          </w:tcPr>
          <w:p w14:paraId="07BD9F1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8" w:type="dxa"/>
            <w:vAlign w:val="top"/>
          </w:tcPr>
          <w:p w14:paraId="55A68CF3"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BDCC0CE">
            <w:pPr>
              <w:pStyle w:val="15"/>
              <w:spacing w:before="78" w:line="222" w:lineRule="auto"/>
              <w:ind w:left="2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</w:t>
            </w:r>
          </w:p>
        </w:tc>
        <w:tc>
          <w:tcPr>
            <w:tcW w:w="708" w:type="dxa"/>
            <w:vAlign w:val="top"/>
          </w:tcPr>
          <w:p w14:paraId="23E67C2F">
            <w:pPr>
              <w:spacing w:line="31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65E8340">
            <w:pPr>
              <w:pStyle w:val="15"/>
              <w:spacing w:before="78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303CC8A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0314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590" w:type="dxa"/>
            <w:vAlign w:val="top"/>
          </w:tcPr>
          <w:p w14:paraId="037F2B0C">
            <w:pPr>
              <w:spacing w:line="27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C4F8FA4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2E9B76F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F5F66C1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6198776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E37C48B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A0C173E">
            <w:pPr>
              <w:pStyle w:val="15"/>
              <w:spacing w:before="78" w:line="181" w:lineRule="auto"/>
              <w:ind w:left="2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69" w:type="dxa"/>
            <w:vAlign w:val="top"/>
          </w:tcPr>
          <w:p w14:paraId="453753F5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ADB1B8F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83DEDC8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4C385B7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4A4D6AC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B6FC6DD"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9E15A77">
            <w:pPr>
              <w:pStyle w:val="15"/>
              <w:spacing w:before="78" w:line="219" w:lineRule="auto"/>
              <w:ind w:left="7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燃烧器</w:t>
            </w:r>
          </w:p>
        </w:tc>
        <w:tc>
          <w:tcPr>
            <w:tcW w:w="2221" w:type="dxa"/>
            <w:vAlign w:val="top"/>
          </w:tcPr>
          <w:p w14:paraId="19E8434C">
            <w:pPr>
              <w:pStyle w:val="15"/>
              <w:spacing w:before="39" w:line="229" w:lineRule="auto"/>
              <w:ind w:left="48" w:right="33" w:hanging="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1、燃烧方式：全自动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电子比例调节；</w:t>
            </w:r>
          </w:p>
          <w:p w14:paraId="6EFFCC91">
            <w:pPr>
              <w:pStyle w:val="15"/>
              <w:spacing w:before="25" w:line="230" w:lineRule="auto"/>
              <w:ind w:left="20" w:right="33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2、燃烧器负荷比例调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节运行。</w:t>
            </w:r>
          </w:p>
          <w:p w14:paraId="235397FC">
            <w:pPr>
              <w:pStyle w:val="15"/>
              <w:spacing w:before="22" w:line="227" w:lineRule="auto"/>
              <w:ind w:left="37" w:right="23" w:hanging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3、氮氧化合物排放量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≤30mg/m3。</w:t>
            </w:r>
          </w:p>
          <w:p w14:paraId="09E750CC">
            <w:pPr>
              <w:pStyle w:val="15"/>
              <w:spacing w:before="34" w:line="229" w:lineRule="auto"/>
              <w:ind w:left="31" w:hanging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4、鼓风机配消声器，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噪声低于70分贝。</w:t>
            </w:r>
          </w:p>
          <w:p w14:paraId="39276A9A">
            <w:pPr>
              <w:pStyle w:val="15"/>
              <w:spacing w:before="26" w:line="230" w:lineRule="auto"/>
              <w:ind w:left="25" w:right="13" w:hanging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 w14:paraId="6E0E0C24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9CB407B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E4A42AC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095B1C6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7D0326F"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6DBE756"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C98F697">
            <w:pPr>
              <w:pStyle w:val="15"/>
              <w:spacing w:before="78" w:line="222" w:lineRule="auto"/>
              <w:ind w:left="2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top"/>
          </w:tcPr>
          <w:p w14:paraId="3A373197">
            <w:pPr>
              <w:spacing w:line="27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C947549">
            <w:pPr>
              <w:spacing w:line="27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AA8721B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FA91C72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5A02F5E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CBFCA46">
            <w:pPr>
              <w:spacing w:line="27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25FB068">
            <w:pPr>
              <w:pStyle w:val="15"/>
              <w:spacing w:before="78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245ECBF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393D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9" w:hRule="atLeast"/>
        </w:trPr>
        <w:tc>
          <w:tcPr>
            <w:tcW w:w="590" w:type="dxa"/>
            <w:vAlign w:val="top"/>
          </w:tcPr>
          <w:p w14:paraId="2055BA4D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5D18FAB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F650303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789AE6B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F14726F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B38B1FE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AD55B7F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0407C81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D8A558E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76F37E8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1DDBC8D">
            <w:pPr>
              <w:pStyle w:val="15"/>
              <w:spacing w:before="78" w:line="181" w:lineRule="auto"/>
              <w:ind w:left="2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top"/>
          </w:tcPr>
          <w:p w14:paraId="61B7264F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850F4E2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EF1A6AE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7064D16"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4100CF5"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8AEC3F5"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FD6E39B"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50BCE39"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F12353C"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6315050">
            <w:pPr>
              <w:pStyle w:val="15"/>
              <w:spacing w:before="78" w:line="220" w:lineRule="auto"/>
              <w:ind w:left="37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落地式控制柜</w:t>
            </w:r>
          </w:p>
        </w:tc>
        <w:tc>
          <w:tcPr>
            <w:tcW w:w="2221" w:type="dxa"/>
            <w:vAlign w:val="top"/>
          </w:tcPr>
          <w:p w14:paraId="4B5F64EE">
            <w:pPr>
              <w:pStyle w:val="15"/>
              <w:spacing w:before="29" w:line="238" w:lineRule="auto"/>
              <w:ind w:left="16" w:right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PLC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全自动比例调节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控制，具备远程通信接口，开放协议；蒸汽锅炉低水位控制器具备自动检测和模拟检测功能；锅炉系统控制柜要求变频控制给水泵、鼓风机；锅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炉控制柜采用15寸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（含以上）彩色触摸屏，人机界面中文显示，手动、自动切换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功能及锅炉手机远程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监控功能，辅机系统</w:t>
            </w: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与锅炉控制集中于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PLC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系统内，统一管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</w:t>
            </w:r>
          </w:p>
        </w:tc>
        <w:tc>
          <w:tcPr>
            <w:tcW w:w="708" w:type="dxa"/>
            <w:vAlign w:val="top"/>
          </w:tcPr>
          <w:p w14:paraId="7E6D8151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8C54643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CB26C3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7DF0220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825F8AA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7659AC4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37007C3"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F2AC537"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EFECDDC"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BA92790"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B420410">
            <w:pPr>
              <w:pStyle w:val="15"/>
              <w:spacing w:before="78" w:line="220" w:lineRule="auto"/>
              <w:ind w:left="2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08" w:type="dxa"/>
            <w:vAlign w:val="top"/>
          </w:tcPr>
          <w:p w14:paraId="4C6A8590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F377750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C4C742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813A8CD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FB619F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64489BD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CBEEF5F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E00F9C4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8C16706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4B105FF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F96B10C">
            <w:pPr>
              <w:pStyle w:val="15"/>
              <w:spacing w:before="78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4251C6A8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6C8A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0" w:type="dxa"/>
            <w:vAlign w:val="top"/>
          </w:tcPr>
          <w:p w14:paraId="7A97D4DD">
            <w:pPr>
              <w:pStyle w:val="15"/>
              <w:spacing w:before="186" w:line="180" w:lineRule="auto"/>
              <w:ind w:left="2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69" w:type="dxa"/>
            <w:vAlign w:val="top"/>
          </w:tcPr>
          <w:p w14:paraId="68C54F86">
            <w:pPr>
              <w:pStyle w:val="15"/>
              <w:spacing w:before="144" w:line="219" w:lineRule="auto"/>
              <w:ind w:left="7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上位机</w:t>
            </w:r>
          </w:p>
        </w:tc>
        <w:tc>
          <w:tcPr>
            <w:tcW w:w="2221" w:type="dxa"/>
            <w:vAlign w:val="top"/>
          </w:tcPr>
          <w:p w14:paraId="4DB07BD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8" w:type="dxa"/>
            <w:vAlign w:val="top"/>
          </w:tcPr>
          <w:p w14:paraId="1D796429">
            <w:pPr>
              <w:pStyle w:val="15"/>
              <w:spacing w:before="144" w:line="222" w:lineRule="auto"/>
              <w:ind w:left="2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top"/>
          </w:tcPr>
          <w:p w14:paraId="58CA220F">
            <w:pPr>
              <w:pStyle w:val="15"/>
              <w:spacing w:before="184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0DE501D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7B63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90" w:type="dxa"/>
            <w:vAlign w:val="top"/>
          </w:tcPr>
          <w:p w14:paraId="74C268F3">
            <w:pPr>
              <w:pStyle w:val="15"/>
              <w:spacing w:before="171" w:line="181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69" w:type="dxa"/>
            <w:vAlign w:val="top"/>
          </w:tcPr>
          <w:p w14:paraId="60F1DDA6">
            <w:pPr>
              <w:pStyle w:val="15"/>
              <w:spacing w:before="130" w:line="220" w:lineRule="auto"/>
              <w:ind w:left="4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一级节能器</w:t>
            </w:r>
          </w:p>
        </w:tc>
        <w:tc>
          <w:tcPr>
            <w:tcW w:w="2221" w:type="dxa"/>
            <w:vAlign w:val="top"/>
          </w:tcPr>
          <w:p w14:paraId="04748058">
            <w:pPr>
              <w:pStyle w:val="15"/>
              <w:spacing w:before="130" w:line="22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</w:t>
            </w:r>
          </w:p>
        </w:tc>
        <w:tc>
          <w:tcPr>
            <w:tcW w:w="708" w:type="dxa"/>
            <w:vAlign w:val="top"/>
          </w:tcPr>
          <w:p w14:paraId="0B495B50">
            <w:pPr>
              <w:pStyle w:val="15"/>
              <w:spacing w:before="130" w:line="222" w:lineRule="auto"/>
              <w:ind w:left="2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top"/>
          </w:tcPr>
          <w:p w14:paraId="59F7CB72">
            <w:pPr>
              <w:pStyle w:val="15"/>
              <w:spacing w:before="169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787B1904">
            <w:pPr>
              <w:pStyle w:val="15"/>
              <w:spacing w:before="130" w:line="22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厂家配套</w:t>
            </w:r>
          </w:p>
        </w:tc>
      </w:tr>
      <w:tr w14:paraId="2AB83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0" w:type="dxa"/>
            <w:vAlign w:val="top"/>
          </w:tcPr>
          <w:p w14:paraId="4CA51E04"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7C434B9">
            <w:pPr>
              <w:pStyle w:val="15"/>
              <w:spacing w:before="78" w:line="180" w:lineRule="auto"/>
              <w:ind w:left="2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69" w:type="dxa"/>
            <w:vAlign w:val="top"/>
          </w:tcPr>
          <w:p w14:paraId="4834C95B">
            <w:pPr>
              <w:pStyle w:val="15"/>
              <w:spacing w:before="140" w:line="230" w:lineRule="auto"/>
              <w:ind w:left="851" w:right="123" w:hanging="7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变频防汽蚀锅炉给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水泵</w:t>
            </w:r>
          </w:p>
        </w:tc>
        <w:tc>
          <w:tcPr>
            <w:tcW w:w="2221" w:type="dxa"/>
            <w:vAlign w:val="top"/>
          </w:tcPr>
          <w:p w14:paraId="6DFFB837">
            <w:pPr>
              <w:pStyle w:val="15"/>
              <w:spacing w:before="296" w:line="225" w:lineRule="auto"/>
              <w:ind w:left="1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</w:t>
            </w:r>
          </w:p>
        </w:tc>
        <w:tc>
          <w:tcPr>
            <w:tcW w:w="708" w:type="dxa"/>
            <w:vAlign w:val="top"/>
          </w:tcPr>
          <w:p w14:paraId="037DB930">
            <w:pPr>
              <w:pStyle w:val="15"/>
              <w:spacing w:before="296" w:line="222" w:lineRule="auto"/>
              <w:ind w:left="2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top"/>
          </w:tcPr>
          <w:p w14:paraId="2915FCD5"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80955C7">
            <w:pPr>
              <w:pStyle w:val="15"/>
              <w:spacing w:before="78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34E0288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A557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0" w:type="dxa"/>
            <w:vAlign w:val="top"/>
          </w:tcPr>
          <w:p w14:paraId="76123CC6">
            <w:pPr>
              <w:pStyle w:val="15"/>
              <w:spacing w:before="78" w:line="175" w:lineRule="auto"/>
              <w:ind w:left="2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69" w:type="dxa"/>
            <w:vAlign w:val="top"/>
          </w:tcPr>
          <w:p w14:paraId="597B502B">
            <w:pPr>
              <w:pStyle w:val="15"/>
              <w:spacing w:before="38" w:line="206" w:lineRule="auto"/>
              <w:ind w:left="6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平台扶梯</w:t>
            </w:r>
          </w:p>
        </w:tc>
        <w:tc>
          <w:tcPr>
            <w:tcW w:w="2221" w:type="dxa"/>
            <w:vAlign w:val="top"/>
          </w:tcPr>
          <w:p w14:paraId="772A0DA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8" w:type="dxa"/>
            <w:vAlign w:val="top"/>
          </w:tcPr>
          <w:p w14:paraId="0D349399">
            <w:pPr>
              <w:pStyle w:val="15"/>
              <w:spacing w:before="38" w:line="206" w:lineRule="auto"/>
              <w:ind w:left="2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08" w:type="dxa"/>
            <w:vAlign w:val="top"/>
          </w:tcPr>
          <w:p w14:paraId="3BF13FA3">
            <w:pPr>
              <w:pStyle w:val="15"/>
              <w:spacing w:before="77" w:line="176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6A8344DC">
            <w:pPr>
              <w:pStyle w:val="15"/>
              <w:spacing w:before="38" w:line="206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按现场条件制作</w:t>
            </w:r>
          </w:p>
        </w:tc>
      </w:tr>
      <w:tr w14:paraId="09380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90" w:type="dxa"/>
            <w:vAlign w:val="top"/>
          </w:tcPr>
          <w:p w14:paraId="03F4C17C">
            <w:pPr>
              <w:pStyle w:val="15"/>
              <w:spacing w:before="79" w:line="173" w:lineRule="auto"/>
              <w:ind w:left="2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169" w:type="dxa"/>
            <w:vAlign w:val="top"/>
          </w:tcPr>
          <w:p w14:paraId="24931B2F">
            <w:pPr>
              <w:pStyle w:val="15"/>
              <w:spacing w:before="38" w:line="204" w:lineRule="auto"/>
              <w:ind w:left="4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锅炉房管道</w:t>
            </w:r>
          </w:p>
        </w:tc>
        <w:tc>
          <w:tcPr>
            <w:tcW w:w="2221" w:type="dxa"/>
            <w:vAlign w:val="top"/>
          </w:tcPr>
          <w:p w14:paraId="73F08B2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8" w:type="dxa"/>
            <w:vAlign w:val="top"/>
          </w:tcPr>
          <w:p w14:paraId="56F11732">
            <w:pPr>
              <w:pStyle w:val="15"/>
              <w:spacing w:before="38" w:line="204" w:lineRule="auto"/>
              <w:ind w:left="2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08" w:type="dxa"/>
            <w:vAlign w:val="top"/>
          </w:tcPr>
          <w:p w14:paraId="5CBC706C">
            <w:pPr>
              <w:pStyle w:val="15"/>
              <w:spacing w:before="77" w:line="174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14B8C0D8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DD22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90" w:type="dxa"/>
            <w:vAlign w:val="top"/>
          </w:tcPr>
          <w:p w14:paraId="1E8E2BAD">
            <w:pPr>
              <w:pStyle w:val="15"/>
              <w:spacing w:before="234" w:line="182" w:lineRule="auto"/>
              <w:ind w:left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  <w:tc>
          <w:tcPr>
            <w:tcW w:w="2169" w:type="dxa"/>
            <w:vAlign w:val="top"/>
          </w:tcPr>
          <w:p w14:paraId="66642E6C">
            <w:pPr>
              <w:pStyle w:val="15"/>
              <w:spacing w:before="195" w:line="220" w:lineRule="auto"/>
              <w:ind w:left="8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安装</w:t>
            </w:r>
          </w:p>
        </w:tc>
        <w:tc>
          <w:tcPr>
            <w:tcW w:w="2221" w:type="dxa"/>
            <w:vAlign w:val="top"/>
          </w:tcPr>
          <w:p w14:paraId="58811FF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8" w:type="dxa"/>
            <w:vAlign w:val="top"/>
          </w:tcPr>
          <w:p w14:paraId="65155ED7">
            <w:pPr>
              <w:pStyle w:val="15"/>
              <w:spacing w:before="195" w:line="220" w:lineRule="auto"/>
              <w:ind w:left="2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08" w:type="dxa"/>
            <w:vAlign w:val="top"/>
          </w:tcPr>
          <w:p w14:paraId="52CE18DA">
            <w:pPr>
              <w:pStyle w:val="15"/>
              <w:spacing w:before="234" w:line="182" w:lineRule="auto"/>
              <w:ind w:left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top"/>
          </w:tcPr>
          <w:p w14:paraId="32A92E05">
            <w:pPr>
              <w:pStyle w:val="15"/>
              <w:spacing w:before="41" w:line="224" w:lineRule="auto"/>
              <w:ind w:left="22" w:right="16" w:firstLine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负责安装告知审批手续；当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地监检、审查、办证费等</w:t>
            </w:r>
          </w:p>
        </w:tc>
      </w:tr>
    </w:tbl>
    <w:p w14:paraId="190B65D1">
      <w:pPr>
        <w:spacing w:line="91" w:lineRule="auto"/>
        <w:rPr>
          <w:rFonts w:ascii="Arial"/>
          <w:sz w:val="28"/>
          <w:szCs w:val="28"/>
        </w:rPr>
      </w:pPr>
    </w:p>
    <w:p w14:paraId="682677CC">
      <w:pPr>
        <w:numPr>
          <w:ilvl w:val="0"/>
          <w:numId w:val="1"/>
        </w:numPr>
        <w:spacing w:line="91" w:lineRule="auto"/>
        <w:ind w:left="0" w:leftChars="0" w:firstLine="0" w:firstLineChars="0"/>
        <w:rPr>
          <w:rFonts w:hint="eastAsia" w:ascii="Arial"/>
          <w:b/>
          <w:bCs/>
          <w:sz w:val="28"/>
          <w:szCs w:val="28"/>
          <w:lang w:val="en-US" w:eastAsia="zh-CN"/>
        </w:rPr>
      </w:pPr>
      <w:r>
        <w:rPr>
          <w:rFonts w:hint="eastAsia" w:ascii="Arial"/>
          <w:b/>
          <w:bCs/>
          <w:sz w:val="28"/>
          <w:szCs w:val="28"/>
          <w:lang w:val="en-US" w:eastAsia="zh-CN"/>
        </w:rPr>
        <w:t>平面布置图</w:t>
      </w:r>
    </w:p>
    <w:p w14:paraId="3BFC707B">
      <w:pPr>
        <w:numPr>
          <w:numId w:val="0"/>
        </w:numPr>
        <w:spacing w:line="91" w:lineRule="auto"/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需根据医院现有场地，重新布置新锅炉平面方案及原锅炉改造方案。</w:t>
      </w:r>
    </w:p>
    <w:p w14:paraId="3B7EA586">
      <w:pPr>
        <w:spacing w:line="313" w:lineRule="auto"/>
        <w:jc w:val="center"/>
        <w:rPr>
          <w:rFonts w:hint="eastAsia" w:ascii="Arial" w:eastAsiaTheme="minorEastAsia"/>
          <w:b/>
          <w:bCs/>
          <w:sz w:val="28"/>
          <w:szCs w:val="28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151765</wp:posOffset>
            </wp:positionV>
            <wp:extent cx="5356860" cy="3811270"/>
            <wp:effectExtent l="0" t="0" r="15240" b="177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图1：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示意图</w:t>
      </w:r>
    </w:p>
    <w:p w14:paraId="6644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4646591"/>
      <w:docPartObj>
        <w:docPartGallery w:val="autotext"/>
      </w:docPartObj>
    </w:sdtPr>
    <w:sdtContent>
      <w:p w14:paraId="770467EF">
        <w:pPr>
          <w:pStyle w:val="5"/>
          <w:jc w:val="center"/>
        </w:pPr>
      </w:p>
      <w:p w14:paraId="28FCA39C">
        <w:pPr>
          <w:pStyle w:val="5"/>
        </w:pPr>
      </w:p>
    </w:sdtContent>
  </w:sdt>
  <w:p w14:paraId="41A591D9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04765"/>
    <w:multiLevelType w:val="singleLevel"/>
    <w:tmpl w:val="4430476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BmMGIzMGRlMzc4YjhhMTY3YzRiMmM4ZmU3YTcifQ=="/>
  </w:docVars>
  <w:rsids>
    <w:rsidRoot w:val="00163B0E"/>
    <w:rsid w:val="0004682E"/>
    <w:rsid w:val="00087B5A"/>
    <w:rsid w:val="00090C46"/>
    <w:rsid w:val="000C7B2A"/>
    <w:rsid w:val="000D253B"/>
    <w:rsid w:val="00117906"/>
    <w:rsid w:val="001230F1"/>
    <w:rsid w:val="001249E9"/>
    <w:rsid w:val="00163B0E"/>
    <w:rsid w:val="00165FDF"/>
    <w:rsid w:val="001F1426"/>
    <w:rsid w:val="001F6FB1"/>
    <w:rsid w:val="0022728D"/>
    <w:rsid w:val="00262D31"/>
    <w:rsid w:val="002C02A5"/>
    <w:rsid w:val="002C0414"/>
    <w:rsid w:val="003652E6"/>
    <w:rsid w:val="003B6203"/>
    <w:rsid w:val="003B6459"/>
    <w:rsid w:val="003D7029"/>
    <w:rsid w:val="00406E8D"/>
    <w:rsid w:val="00443461"/>
    <w:rsid w:val="00462504"/>
    <w:rsid w:val="004777CF"/>
    <w:rsid w:val="0049071C"/>
    <w:rsid w:val="0051569D"/>
    <w:rsid w:val="00525653"/>
    <w:rsid w:val="00530CD0"/>
    <w:rsid w:val="005853FD"/>
    <w:rsid w:val="00594658"/>
    <w:rsid w:val="005B0191"/>
    <w:rsid w:val="005B176B"/>
    <w:rsid w:val="005D6E71"/>
    <w:rsid w:val="005F1381"/>
    <w:rsid w:val="0063389E"/>
    <w:rsid w:val="0064732C"/>
    <w:rsid w:val="006A493C"/>
    <w:rsid w:val="006C542E"/>
    <w:rsid w:val="006D3A93"/>
    <w:rsid w:val="00790365"/>
    <w:rsid w:val="00804781"/>
    <w:rsid w:val="00817D44"/>
    <w:rsid w:val="008C0C1B"/>
    <w:rsid w:val="008D6113"/>
    <w:rsid w:val="00940B18"/>
    <w:rsid w:val="009472CA"/>
    <w:rsid w:val="0097237A"/>
    <w:rsid w:val="009D670A"/>
    <w:rsid w:val="00A01A90"/>
    <w:rsid w:val="00A24C8D"/>
    <w:rsid w:val="00A3362C"/>
    <w:rsid w:val="00AE55BD"/>
    <w:rsid w:val="00B340BC"/>
    <w:rsid w:val="00B37C38"/>
    <w:rsid w:val="00B432A9"/>
    <w:rsid w:val="00BC474B"/>
    <w:rsid w:val="00BE3467"/>
    <w:rsid w:val="00BF65AD"/>
    <w:rsid w:val="00C27EA0"/>
    <w:rsid w:val="00C32DCB"/>
    <w:rsid w:val="00C715DA"/>
    <w:rsid w:val="00D2311D"/>
    <w:rsid w:val="00D54302"/>
    <w:rsid w:val="00D73431"/>
    <w:rsid w:val="00DA14DA"/>
    <w:rsid w:val="00DA2C65"/>
    <w:rsid w:val="00DA5342"/>
    <w:rsid w:val="00E141D9"/>
    <w:rsid w:val="00E17D24"/>
    <w:rsid w:val="00E27864"/>
    <w:rsid w:val="00E30260"/>
    <w:rsid w:val="00E44BD3"/>
    <w:rsid w:val="00E526A4"/>
    <w:rsid w:val="00E82CC9"/>
    <w:rsid w:val="00EA2370"/>
    <w:rsid w:val="00EC4091"/>
    <w:rsid w:val="00F20C6F"/>
    <w:rsid w:val="00F22320"/>
    <w:rsid w:val="00F467BE"/>
    <w:rsid w:val="00F47D3A"/>
    <w:rsid w:val="00F62B0A"/>
    <w:rsid w:val="00F817D6"/>
    <w:rsid w:val="00F95ABA"/>
    <w:rsid w:val="00FD3896"/>
    <w:rsid w:val="00FF6AD7"/>
    <w:rsid w:val="0EDE5AE1"/>
    <w:rsid w:val="16A257AE"/>
    <w:rsid w:val="1AFA0F74"/>
    <w:rsid w:val="2A3F69A3"/>
    <w:rsid w:val="3B153516"/>
    <w:rsid w:val="3CE93C60"/>
    <w:rsid w:val="5F087440"/>
    <w:rsid w:val="64CA675F"/>
    <w:rsid w:val="69821E2D"/>
    <w:rsid w:val="76004806"/>
    <w:rsid w:val="76FE0619"/>
    <w:rsid w:val="791D122B"/>
    <w:rsid w:val="7C3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adjustRightInd w:val="0"/>
      <w:spacing w:before="120" w:after="120" w:line="480" w:lineRule="exact"/>
      <w:ind w:firstLine="280"/>
      <w:textAlignment w:val="baseline"/>
      <w:outlineLvl w:val="1"/>
    </w:pPr>
    <w:rPr>
      <w:rFonts w:ascii="仿宋_GB2312" w:hAnsi="Arial" w:eastAsia="仿宋_GB2312" w:cs="Times New Roman"/>
      <w:b/>
      <w:color w:val="FF0000"/>
      <w:kern w:val="0"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link w:val="12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标题 2 Char"/>
    <w:basedOn w:val="9"/>
    <w:link w:val="2"/>
    <w:qFormat/>
    <w:uiPriority w:val="0"/>
    <w:rPr>
      <w:rFonts w:ascii="仿宋_GB2312" w:hAnsi="Arial" w:eastAsia="仿宋_GB2312" w:cs="Times New Roman"/>
      <w:b/>
      <w:color w:val="FF0000"/>
      <w:kern w:val="0"/>
      <w:sz w:val="28"/>
      <w:szCs w:val="20"/>
    </w:rPr>
  </w:style>
  <w:style w:type="character" w:customStyle="1" w:styleId="12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2980</Words>
  <Characters>3293</Characters>
  <Lines>4</Lines>
  <Paragraphs>1</Paragraphs>
  <TotalTime>1094</TotalTime>
  <ScaleCrop>false</ScaleCrop>
  <LinksUpToDate>false</LinksUpToDate>
  <CharactersWithSpaces>3379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2024-08-13T08:54:00Z</dcterms:created>
  <dc:creator>微软用户</dc:creator>
  <cp:lastModifiedBy>铁皮人</cp:lastModifiedBy>
  <cp:lastPrinted>2024-08-30T01:35:51Z</cp:lastPrinted>
  <dcterms:modified xsi:type="dcterms:W3CDTF">2024-08-30T01:36:17Z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785CD0E1FAE447F6923BB8B319D9D0C6_13</vt:lpwstr>
  </property>
</Properties>
</file>