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32"/>
        </w:rPr>
      </w:pPr>
      <w:r>
        <w:rPr>
          <w:rFonts w:hint="eastAsia"/>
          <w:sz w:val="32"/>
        </w:rPr>
        <w:t>粤北人民医院内科专业基地简介</w:t>
      </w:r>
    </w:p>
    <w:p>
      <w:pPr>
        <w:rPr>
          <w:sz w:val="32"/>
        </w:rPr>
      </w:pPr>
      <w:r>
        <w:rPr>
          <w:rFonts w:hint="eastAsia"/>
          <w:sz w:val="32"/>
        </w:rPr>
        <w:t>一、专业基地概况</w:t>
      </w:r>
    </w:p>
    <w:p>
      <w:pPr>
        <w:spacing w:line="360" w:lineRule="auto"/>
        <w:ind w:firstLine="570"/>
        <w:rPr>
          <w:rFonts w:cs="仿宋" w:asciiTheme="minorEastAsia" w:hAnsiTheme="minorEastAsia"/>
          <w:sz w:val="30"/>
          <w:szCs w:val="30"/>
        </w:rPr>
      </w:pPr>
      <w:r>
        <w:rPr>
          <w:rFonts w:hint="eastAsia" w:ascii="宋体" w:hAnsi="宋体" w:eastAsia="宋体" w:cs="仿宋"/>
          <w:sz w:val="30"/>
          <w:szCs w:val="30"/>
        </w:rPr>
        <w:t>内科专业基地下辖8个亚专业，包括心血管内科、肾内科、血液内科、呼吸与危急重症医学科、消化内科、内分泌科、风湿免疫科、感染科，相关辅助科室有心电图室、心导管室、冠心病监护室、呼吸重症监护室、肺功能室、睡眠呼吸检测室、呼吸内镜室、消化内镜室、胃肠动力室、血液实验室、内分泌实验室、风湿免疫实验室、透析室及无菌层流病房等。</w:t>
      </w:r>
      <w:r>
        <w:rPr>
          <w:rFonts w:cs="仿宋" w:asciiTheme="minorEastAsia" w:hAnsiTheme="minorEastAsia"/>
          <w:sz w:val="30"/>
          <w:szCs w:val="30"/>
        </w:rPr>
        <w:drawing>
          <wp:inline distT="0" distB="0" distL="0" distR="0">
            <wp:extent cx="5267325" cy="5305425"/>
            <wp:effectExtent l="19050" t="0" r="9295" b="0"/>
            <wp:docPr id="12" name="图片 7" descr="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图片1.jpg"/>
                    <pic:cNvPicPr>
                      <a:picLocks noChangeAspect="1"/>
                    </pic:cNvPicPr>
                  </pic:nvPicPr>
                  <pic:blipFill>
                    <a:blip r:embed="rId5"/>
                    <a:srcRect/>
                    <a:stretch>
                      <a:fillRect/>
                    </a:stretch>
                  </pic:blipFill>
                  <pic:spPr>
                    <a:xfrm>
                      <a:off x="0" y="0"/>
                      <a:ext cx="5274310" cy="5312228"/>
                    </a:xfrm>
                    <a:prstGeom prst="rect">
                      <a:avLst/>
                    </a:prstGeom>
                    <a:noFill/>
                    <a:ln w="9525">
                      <a:noFill/>
                      <a:miter lim="800000"/>
                      <a:headEnd/>
                      <a:tailEnd/>
                    </a:ln>
                  </pic:spPr>
                </pic:pic>
              </a:graphicData>
            </a:graphic>
          </wp:inline>
        </w:drawing>
      </w:r>
    </w:p>
    <w:p>
      <w:pPr>
        <w:spacing w:line="360" w:lineRule="auto"/>
        <w:ind w:firstLine="570"/>
      </w:pPr>
    </w:p>
    <w:p>
      <w:pPr>
        <w:spacing w:line="360" w:lineRule="auto"/>
        <w:ind w:firstLine="570"/>
        <w:jc w:val="left"/>
        <w:rPr>
          <w:rFonts w:cs="仿宋" w:asciiTheme="minorEastAsia" w:hAnsiTheme="minorEastAsia"/>
          <w:sz w:val="30"/>
          <w:szCs w:val="30"/>
        </w:rPr>
      </w:pPr>
      <w:r>
        <w:rPr>
          <w:rFonts w:hint="eastAsia" w:ascii="宋体" w:hAnsi="宋体" w:eastAsia="宋体" w:cs="仿宋"/>
          <w:sz w:val="30"/>
          <w:szCs w:val="30"/>
          <w:lang w:eastAsia="zh-CN"/>
        </w:rPr>
        <w:t>内科专业基地</w:t>
      </w:r>
      <w:r>
        <w:rPr>
          <w:rFonts w:hint="eastAsia" w:ascii="宋体" w:hAnsi="宋体" w:eastAsia="宋体" w:cs="仿宋"/>
          <w:sz w:val="30"/>
          <w:szCs w:val="30"/>
        </w:rPr>
        <w:t>共有床位病床825张，年门诊量457173，年急诊量10612及年收治病人数35989，远超要求，专科疾病、临床技能操作的种类及数量均符合标准，各亚专业有示教室1间，配备了必要的教学设备。</w:t>
      </w:r>
      <w:r>
        <w:rPr>
          <w:rFonts w:hint="eastAsia"/>
        </w:rPr>
        <w:drawing>
          <wp:inline distT="0" distB="0" distL="0" distR="0">
            <wp:extent cx="5506085" cy="1809750"/>
            <wp:effectExtent l="19050" t="0" r="0" b="0"/>
            <wp:docPr id="10" name="图片 1" descr="捕获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捕获5.PNG"/>
                    <pic:cNvPicPr>
                      <a:picLocks noChangeAspect="1"/>
                    </pic:cNvPicPr>
                  </pic:nvPicPr>
                  <pic:blipFill>
                    <a:blip r:embed="rId6"/>
                    <a:stretch>
                      <a:fillRect/>
                    </a:stretch>
                  </pic:blipFill>
                  <pic:spPr>
                    <a:xfrm>
                      <a:off x="0" y="0"/>
                      <a:ext cx="5506148" cy="1809750"/>
                    </a:xfrm>
                    <a:prstGeom prst="rect">
                      <a:avLst/>
                    </a:prstGeom>
                    <a:noFill/>
                    <a:ln w="9525">
                      <a:noFill/>
                      <a:miter lim="800000"/>
                      <a:headEnd/>
                      <a:tailEnd/>
                    </a:ln>
                  </pic:spPr>
                </pic:pic>
              </a:graphicData>
            </a:graphic>
          </wp:inline>
        </w:drawing>
      </w:r>
      <w:r>
        <w:drawing>
          <wp:inline distT="0" distB="0" distL="0" distR="0">
            <wp:extent cx="6038850" cy="5086350"/>
            <wp:effectExtent l="19050" t="0" r="0" b="0"/>
            <wp:docPr id="11" name="图片 10" descr="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捕获.PNG"/>
                    <pic:cNvPicPr>
                      <a:picLocks noChangeAspect="1"/>
                    </pic:cNvPicPr>
                  </pic:nvPicPr>
                  <pic:blipFill>
                    <a:blip r:embed="rId7"/>
                    <a:stretch>
                      <a:fillRect/>
                    </a:stretch>
                  </pic:blipFill>
                  <pic:spPr>
                    <a:xfrm>
                      <a:off x="0" y="0"/>
                      <a:ext cx="6038850" cy="5086350"/>
                    </a:xfrm>
                    <a:prstGeom prst="rect">
                      <a:avLst/>
                    </a:prstGeom>
                  </pic:spPr>
                </pic:pic>
              </a:graphicData>
            </a:graphic>
          </wp:inline>
        </w:drawing>
      </w:r>
      <w:r>
        <w:rPr>
          <w:rFonts w:hint="eastAsia"/>
          <w:sz w:val="32"/>
        </w:rPr>
        <w:t>二、住培教育概况</w:t>
      </w:r>
    </w:p>
    <w:p>
      <w:pPr>
        <w:spacing w:line="360" w:lineRule="auto"/>
        <w:ind w:firstLine="450" w:firstLineChars="150"/>
        <w:rPr>
          <w:rFonts w:cs="仿宋" w:asciiTheme="minorEastAsia" w:hAnsiTheme="minorEastAsia"/>
          <w:sz w:val="30"/>
          <w:szCs w:val="30"/>
        </w:rPr>
      </w:pPr>
      <w:r>
        <w:rPr>
          <w:rFonts w:hint="eastAsia" w:ascii="宋体" w:hAnsi="宋体" w:eastAsia="宋体" w:cs="仿宋"/>
          <w:sz w:val="30"/>
          <w:szCs w:val="30"/>
        </w:rPr>
        <w:t>内科专业基地</w:t>
      </w:r>
      <w:r>
        <w:rPr>
          <w:rFonts w:hint="eastAsia" w:ascii="宋体" w:hAnsi="宋体" w:eastAsia="宋体" w:cs="仿宋"/>
          <w:sz w:val="30"/>
          <w:szCs w:val="30"/>
          <w:lang w:eastAsia="zh-CN"/>
        </w:rPr>
        <w:t>目前</w:t>
      </w:r>
      <w:r>
        <w:rPr>
          <w:rFonts w:hint="eastAsia" w:ascii="宋体" w:hAnsi="宋体" w:eastAsia="宋体" w:cs="仿宋"/>
          <w:sz w:val="30"/>
          <w:szCs w:val="30"/>
        </w:rPr>
        <w:t>共有带教资格老师</w:t>
      </w:r>
      <w:r>
        <w:rPr>
          <w:rFonts w:hint="eastAsia" w:cs="仿宋" w:asciiTheme="minorEastAsia" w:hAnsiTheme="minorEastAsia"/>
          <w:sz w:val="30"/>
          <w:szCs w:val="30"/>
        </w:rPr>
        <w:t>107</w:t>
      </w:r>
      <w:r>
        <w:rPr>
          <w:rFonts w:hint="eastAsia" w:ascii="宋体" w:hAnsi="宋体" w:eastAsia="宋体" w:cs="仿宋"/>
          <w:sz w:val="30"/>
          <w:szCs w:val="30"/>
        </w:rPr>
        <w:t>人,获得省级师资培训证书及有规培导师资格的老师有52人</w:t>
      </w:r>
      <w:r>
        <w:rPr>
          <w:rFonts w:hint="eastAsia" w:cs="仿宋" w:asciiTheme="minorEastAsia" w:hAnsiTheme="minorEastAsia"/>
          <w:sz w:val="30"/>
          <w:szCs w:val="30"/>
        </w:rPr>
        <w:t>。</w:t>
      </w:r>
      <w:r>
        <w:rPr>
          <w:rFonts w:hint="eastAsia" w:cs="仿宋" w:asciiTheme="minorEastAsia" w:hAnsiTheme="minorEastAsia"/>
          <w:sz w:val="30"/>
          <w:szCs w:val="30"/>
          <w:lang w:eastAsia="zh-CN"/>
        </w:rPr>
        <w:t>专业基地</w:t>
      </w:r>
      <w:r>
        <w:rPr>
          <w:rFonts w:hint="eastAsia" w:ascii="宋体" w:hAnsi="宋体" w:eastAsia="宋体" w:cs="仿宋"/>
          <w:sz w:val="30"/>
          <w:szCs w:val="30"/>
        </w:rPr>
        <w:t>每年度组织一次对带教医师的教学工作进行评价，</w:t>
      </w:r>
      <w:r>
        <w:rPr>
          <w:rFonts w:hint="eastAsia" w:ascii="宋体" w:hAnsi="宋体" w:eastAsia="宋体" w:cs="仿宋"/>
          <w:sz w:val="30"/>
          <w:szCs w:val="30"/>
          <w:lang w:eastAsia="zh-CN"/>
        </w:rPr>
        <w:t>并</w:t>
      </w:r>
      <w:r>
        <w:rPr>
          <w:rFonts w:hint="eastAsia" w:ascii="宋体" w:hAnsi="宋体" w:eastAsia="宋体" w:cs="仿宋"/>
          <w:sz w:val="30"/>
          <w:szCs w:val="30"/>
        </w:rPr>
        <w:t>落实带教活动绩效管理政策，鼓励带教</w:t>
      </w:r>
      <w:r>
        <w:rPr>
          <w:rFonts w:hint="eastAsia" w:cs="仿宋" w:asciiTheme="minorEastAsia" w:hAnsiTheme="minorEastAsia"/>
          <w:sz w:val="30"/>
          <w:szCs w:val="30"/>
        </w:rPr>
        <w:t>。</w:t>
      </w:r>
    </w:p>
    <w:p>
      <w:pPr>
        <w:spacing w:line="360" w:lineRule="auto"/>
        <w:ind w:firstLine="570"/>
        <w:jc w:val="left"/>
        <w:rPr>
          <w:rFonts w:asciiTheme="minorEastAsia" w:hAnsiTheme="minorEastAsia"/>
          <w:sz w:val="16"/>
        </w:rPr>
      </w:pPr>
      <w:r>
        <w:rPr>
          <w:rFonts w:asciiTheme="minorEastAsia" w:hAnsiTheme="minorEastAsia"/>
          <w:sz w:val="16"/>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143125" cy="3143250"/>
            <wp:effectExtent l="19050" t="0" r="9525" b="0"/>
            <wp:wrapSquare wrapText="bothSides"/>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noChangeArrowheads="1"/>
                    </pic:cNvPicPr>
                  </pic:nvPicPr>
                  <pic:blipFill>
                    <a:blip r:embed="rId8" cstate="print"/>
                    <a:srcRect/>
                    <a:stretch>
                      <a:fillRect/>
                    </a:stretch>
                  </pic:blipFill>
                  <pic:spPr>
                    <a:xfrm>
                      <a:off x="0" y="0"/>
                      <a:ext cx="2143125" cy="3143250"/>
                    </a:xfrm>
                    <a:prstGeom prst="rect">
                      <a:avLst/>
                    </a:prstGeom>
                    <a:noFill/>
                  </pic:spPr>
                </pic:pic>
              </a:graphicData>
            </a:graphic>
          </wp:anchor>
        </w:drawing>
      </w:r>
    </w:p>
    <w:p>
      <w:pPr>
        <w:spacing w:line="360" w:lineRule="auto"/>
        <w:jc w:val="left"/>
        <w:rPr>
          <w:rFonts w:asciiTheme="minorEastAsia" w:hAnsiTheme="minorEastAsia"/>
          <w:b/>
          <w:sz w:val="18"/>
        </w:rPr>
      </w:pPr>
      <w:r>
        <w:rPr>
          <w:rFonts w:hint="eastAsia" w:asciiTheme="minorEastAsia" w:hAnsiTheme="minorEastAsia"/>
          <w:b/>
          <w:bCs/>
          <w:sz w:val="18"/>
        </w:rPr>
        <w:t>内科专业基地负责人：</w:t>
      </w:r>
    </w:p>
    <w:p>
      <w:pPr>
        <w:spacing w:line="360" w:lineRule="auto"/>
        <w:jc w:val="left"/>
        <w:rPr>
          <w:rFonts w:asciiTheme="minorEastAsia" w:hAnsiTheme="minorEastAsia"/>
          <w:b/>
          <w:sz w:val="18"/>
        </w:rPr>
      </w:pPr>
      <w:r>
        <w:rPr>
          <w:rFonts w:hint="eastAsia" w:asciiTheme="minorEastAsia" w:hAnsiTheme="minorEastAsia"/>
          <w:b/>
          <w:sz w:val="18"/>
        </w:rPr>
        <w:t>唐良秋主任医师、大内科主任、汕头大学医学院硕士生导师、是韶关市享受市政府特殊津贴人才、“广东医师“、广东省”五一劳动奖章”获得者等，从事内科专业的医疗、科研和教学工作36年，发表论文多篇，其中SCI论文5篇，最高单篇IF达14以上。</w:t>
      </w:r>
    </w:p>
    <w:p>
      <w:pPr>
        <w:spacing w:line="360" w:lineRule="auto"/>
        <w:jc w:val="left"/>
        <w:rPr>
          <w:rFonts w:asciiTheme="minorEastAsia" w:hAnsiTheme="minorEastAsia"/>
          <w:b/>
          <w:sz w:val="18"/>
        </w:rPr>
      </w:pPr>
      <w:r>
        <w:rPr>
          <w:rFonts w:hint="eastAsia" w:asciiTheme="minorEastAsia" w:hAnsiTheme="minorEastAsia"/>
          <w:b/>
          <w:sz w:val="18"/>
        </w:rPr>
        <w:t>省临床医学会心血管健康专业委员会副主委</w:t>
      </w:r>
    </w:p>
    <w:p>
      <w:pPr>
        <w:spacing w:line="360" w:lineRule="auto"/>
        <w:jc w:val="left"/>
        <w:rPr>
          <w:rFonts w:asciiTheme="minorEastAsia" w:hAnsiTheme="minorEastAsia"/>
          <w:b/>
          <w:sz w:val="18"/>
        </w:rPr>
      </w:pPr>
      <w:r>
        <w:rPr>
          <w:rFonts w:hint="eastAsia" w:asciiTheme="minorEastAsia" w:hAnsiTheme="minorEastAsia"/>
          <w:b/>
          <w:sz w:val="18"/>
        </w:rPr>
        <w:t>省老年保健协会动脉粥样硬化性疾病专业委员会副主任委员</w:t>
      </w:r>
    </w:p>
    <w:p>
      <w:pPr>
        <w:spacing w:line="360" w:lineRule="auto"/>
        <w:jc w:val="left"/>
        <w:rPr>
          <w:rFonts w:asciiTheme="minorEastAsia" w:hAnsiTheme="minorEastAsia"/>
          <w:b/>
          <w:sz w:val="18"/>
        </w:rPr>
      </w:pPr>
      <w:r>
        <w:rPr>
          <w:rFonts w:hint="eastAsia" w:asciiTheme="minorEastAsia" w:hAnsiTheme="minorEastAsia"/>
          <w:b/>
          <w:sz w:val="18"/>
        </w:rPr>
        <w:t>省基层医药学会心血管专业委员会副主任委员</w:t>
      </w:r>
    </w:p>
    <w:p>
      <w:pPr>
        <w:ind w:left="359" w:leftChars="171" w:firstLine="361" w:firstLineChars="200"/>
        <w:rPr>
          <w:rFonts w:ascii="仿宋" w:hAnsi="仿宋" w:eastAsia="仿宋" w:cs="仿宋"/>
          <w:sz w:val="30"/>
          <w:szCs w:val="30"/>
        </w:rPr>
      </w:pPr>
      <w:r>
        <w:rPr>
          <w:rFonts w:asciiTheme="minorEastAsia" w:hAnsiTheme="minorEastAsia"/>
          <w:b/>
          <w:sz w:val="18"/>
        </w:rPr>
        <w:br w:type="textWrapping" w:clear="all"/>
      </w:r>
      <w:r>
        <w:rPr>
          <w:rFonts w:hint="eastAsia" w:ascii="仿宋" w:hAnsi="仿宋" w:eastAsia="仿宋" w:cs="仿宋"/>
          <w:sz w:val="30"/>
          <w:szCs w:val="30"/>
        </w:rPr>
        <w:drawing>
          <wp:inline distT="0" distB="0" distL="0" distR="0">
            <wp:extent cx="5274310" cy="2279650"/>
            <wp:effectExtent l="19050" t="0" r="2540" b="0"/>
            <wp:docPr id="23" name="图片 22" descr="捕获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捕获2.PNG"/>
                    <pic:cNvPicPr>
                      <a:picLocks noChangeAspect="1"/>
                    </pic:cNvPicPr>
                  </pic:nvPicPr>
                  <pic:blipFill>
                    <a:blip r:embed="rId9"/>
                    <a:stretch>
                      <a:fillRect/>
                    </a:stretch>
                  </pic:blipFill>
                  <pic:spPr>
                    <a:xfrm>
                      <a:off x="0" y="0"/>
                      <a:ext cx="5274310" cy="2279650"/>
                    </a:xfrm>
                    <a:prstGeom prst="rect">
                      <a:avLst/>
                    </a:prstGeom>
                  </pic:spPr>
                </pic:pic>
              </a:graphicData>
            </a:graphic>
          </wp:inline>
        </w:drawing>
      </w:r>
    </w:p>
    <w:p>
      <w:pPr>
        <w:ind w:left="359" w:leftChars="171" w:firstLine="600" w:firstLineChars="200"/>
        <w:rPr>
          <w:rFonts w:ascii="仿宋" w:hAnsi="仿宋" w:eastAsia="仿宋" w:cs="仿宋"/>
          <w:sz w:val="30"/>
          <w:szCs w:val="30"/>
        </w:rPr>
      </w:pPr>
    </w:p>
    <w:p>
      <w:pPr>
        <w:ind w:left="359" w:leftChars="171" w:firstLine="600" w:firstLineChars="200"/>
        <w:rPr>
          <w:rFonts w:ascii="仿宋" w:hAnsi="仿宋" w:eastAsia="仿宋" w:cs="仿宋"/>
          <w:sz w:val="30"/>
          <w:szCs w:val="30"/>
        </w:rPr>
      </w:pPr>
      <w:r>
        <w:rPr>
          <w:rFonts w:hint="eastAsia" w:ascii="宋体" w:hAnsi="宋体" w:eastAsia="宋体" w:cs="仿宋"/>
          <w:sz w:val="30"/>
          <w:szCs w:val="30"/>
        </w:rPr>
        <w:t>在</w:t>
      </w:r>
      <w:r>
        <w:rPr>
          <w:rFonts w:hint="eastAsia" w:cs="仿宋" w:asciiTheme="minorEastAsia" w:hAnsiTheme="minorEastAsia"/>
          <w:sz w:val="30"/>
          <w:szCs w:val="30"/>
        </w:rPr>
        <w:t>内科专业</w:t>
      </w:r>
      <w:r>
        <w:rPr>
          <w:rFonts w:hint="eastAsia" w:ascii="宋体" w:hAnsi="宋体" w:eastAsia="宋体" w:cs="仿宋"/>
          <w:sz w:val="30"/>
          <w:szCs w:val="30"/>
        </w:rPr>
        <w:t>基地负责人</w:t>
      </w:r>
      <w:r>
        <w:rPr>
          <w:rFonts w:hint="eastAsia" w:cs="仿宋" w:asciiTheme="minorEastAsia" w:hAnsiTheme="minorEastAsia"/>
          <w:sz w:val="30"/>
          <w:szCs w:val="30"/>
        </w:rPr>
        <w:t>唐良秋主任医师</w:t>
      </w:r>
      <w:r>
        <w:rPr>
          <w:rFonts w:hint="eastAsia" w:ascii="宋体" w:hAnsi="宋体" w:eastAsia="宋体" w:cs="仿宋"/>
          <w:sz w:val="30"/>
          <w:szCs w:val="30"/>
        </w:rPr>
        <w:t>的带领下，每季度教学主任组织、教学秘书落实教学会议，亚专业教学秘书落实本科室的教学工作及任务，定期开展教学管理会议</w:t>
      </w:r>
      <w:r>
        <w:rPr>
          <w:rFonts w:hint="eastAsia" w:ascii="宋体" w:hAnsi="宋体" w:eastAsia="宋体" w:cs="仿宋"/>
          <w:sz w:val="30"/>
          <w:szCs w:val="30"/>
          <w:lang w:eastAsia="zh-CN"/>
        </w:rPr>
        <w:t>，并</w:t>
      </w:r>
      <w:r>
        <w:rPr>
          <w:rFonts w:hint="eastAsia" w:ascii="宋体" w:hAnsi="宋体" w:eastAsia="宋体" w:cs="仿宋"/>
          <w:sz w:val="30"/>
          <w:szCs w:val="30"/>
        </w:rPr>
        <w:t>定期督导教学查房、技能带教等教学活动。在教学活动中,体现分层递进的教学理念</w:t>
      </w:r>
      <w:r>
        <w:rPr>
          <w:rFonts w:hint="eastAsia" w:ascii="宋体" w:hAnsi="宋体" w:eastAsia="宋体" w:cs="仿宋"/>
          <w:sz w:val="30"/>
          <w:szCs w:val="30"/>
          <w:lang w:eastAsia="zh-CN"/>
        </w:rPr>
        <w:t>，并</w:t>
      </w:r>
      <w:r>
        <w:rPr>
          <w:rFonts w:hint="eastAsia" w:ascii="宋体" w:hAnsi="宋体" w:eastAsia="宋体" w:cs="仿宋"/>
          <w:sz w:val="30"/>
          <w:szCs w:val="30"/>
        </w:rPr>
        <w:t>按规定制定和落实轮转计划及要求，规范认真进行每月的小讲课、</w:t>
      </w:r>
      <w:r>
        <w:rPr>
          <w:rFonts w:hint="eastAsia" w:cs="仿宋" w:asciiTheme="minorEastAsia" w:hAnsiTheme="minorEastAsia"/>
          <w:sz w:val="30"/>
          <w:szCs w:val="30"/>
        </w:rPr>
        <w:t>教学查房、教学病例讨论、技能培训，出科时有</w:t>
      </w:r>
      <w:r>
        <w:rPr>
          <w:rFonts w:hint="eastAsia" w:cs="仿宋" w:asciiTheme="minorEastAsia" w:hAnsiTheme="minorEastAsia"/>
          <w:sz w:val="30"/>
          <w:szCs w:val="30"/>
          <w:lang w:eastAsia="zh-CN"/>
        </w:rPr>
        <w:t>分层递进的</w:t>
      </w:r>
      <w:r>
        <w:rPr>
          <w:rFonts w:hint="eastAsia" w:cs="仿宋" w:asciiTheme="minorEastAsia" w:hAnsiTheme="minorEastAsia"/>
          <w:sz w:val="30"/>
          <w:szCs w:val="30"/>
        </w:rPr>
        <w:t>理论考核与技能考核。</w:t>
      </w:r>
      <w:r>
        <w:rPr>
          <w:rFonts w:hint="eastAsia" w:ascii="宋体" w:hAnsi="宋体" w:eastAsia="宋体" w:cs="仿宋"/>
          <w:sz w:val="30"/>
          <w:szCs w:val="30"/>
        </w:rPr>
        <w:t>住培医师</w:t>
      </w:r>
      <w:r>
        <w:rPr>
          <w:rFonts w:hint="eastAsia" w:ascii="宋体" w:hAnsi="宋体" w:eastAsia="宋体" w:cs="仿宋"/>
          <w:sz w:val="30"/>
          <w:szCs w:val="30"/>
          <w:lang w:eastAsia="zh-CN"/>
        </w:rPr>
        <w:t>初期</w:t>
      </w:r>
      <w:r>
        <w:rPr>
          <w:rFonts w:hint="eastAsia" w:ascii="宋体" w:hAnsi="宋体" w:eastAsia="宋体" w:cs="仿宋"/>
          <w:sz w:val="30"/>
          <w:szCs w:val="30"/>
        </w:rPr>
        <w:t>在带教老师指导下管理病人，</w:t>
      </w:r>
      <w:r>
        <w:rPr>
          <w:rFonts w:hint="eastAsia" w:ascii="宋体" w:hAnsi="宋体" w:eastAsia="宋体" w:cs="仿宋"/>
          <w:sz w:val="30"/>
          <w:szCs w:val="30"/>
          <w:lang w:eastAsia="zh-CN"/>
        </w:rPr>
        <w:t>在取得医师资格证并考核合格后在上级医师的指导下独立值班及管理病人</w:t>
      </w:r>
      <w:r>
        <w:rPr>
          <w:rFonts w:hint="eastAsia" w:ascii="宋体" w:hAnsi="宋体" w:eastAsia="宋体" w:cs="仿宋"/>
          <w:sz w:val="30"/>
          <w:szCs w:val="30"/>
        </w:rPr>
        <w:t>。</w:t>
      </w:r>
      <w:r>
        <w:rPr>
          <w:rFonts w:ascii="仿宋" w:hAnsi="仿宋" w:eastAsia="仿宋" w:cs="仿宋"/>
          <w:sz w:val="30"/>
          <w:szCs w:val="30"/>
        </w:rPr>
        <w:drawing>
          <wp:inline distT="0" distB="0" distL="0" distR="0">
            <wp:extent cx="5429250" cy="3209925"/>
            <wp:effectExtent l="190500" t="152400" r="171450" b="142875"/>
            <wp:docPr id="19" name="图片 11" descr="2022级入基地培训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2022级入基地培训2.jpg"/>
                    <pic:cNvPicPr>
                      <a:picLocks noChangeAspect="1"/>
                    </pic:cNvPicPr>
                  </pic:nvPicPr>
                  <pic:blipFill>
                    <a:blip r:embed="rId10"/>
                    <a:srcRect/>
                    <a:stretch>
                      <a:fillRect/>
                    </a:stretch>
                  </pic:blipFill>
                  <pic:spPr>
                    <a:xfrm>
                      <a:off x="0" y="0"/>
                      <a:ext cx="5429250" cy="3209925"/>
                    </a:xfrm>
                    <a:prstGeom prst="rect">
                      <a:avLst/>
                    </a:prstGeom>
                    <a:ln>
                      <a:noFill/>
                    </a:ln>
                    <a:effectLst>
                      <a:outerShdw blurRad="190500" algn="tl" rotWithShape="0">
                        <a:srgbClr val="000000">
                          <a:alpha val="70000"/>
                        </a:srgbClr>
                      </a:outerShdw>
                    </a:effectLst>
                  </pic:spPr>
                </pic:pic>
              </a:graphicData>
            </a:graphic>
          </wp:inline>
        </w:drawing>
      </w:r>
      <w:r>
        <w:rPr>
          <w:rFonts w:hint="eastAsia" w:ascii="仿宋" w:hAnsi="仿宋" w:eastAsia="仿宋" w:cs="仿宋"/>
          <w:sz w:val="30"/>
          <w:szCs w:val="30"/>
        </w:rPr>
        <w:drawing>
          <wp:inline distT="0" distB="0" distL="0" distR="0">
            <wp:extent cx="5419725" cy="2562225"/>
            <wp:effectExtent l="19050" t="0" r="9525" b="0"/>
            <wp:docPr id="22" name="图片 21" descr="捕获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捕获6.PNG"/>
                    <pic:cNvPicPr>
                      <a:picLocks noChangeAspect="1"/>
                    </pic:cNvPicPr>
                  </pic:nvPicPr>
                  <pic:blipFill>
                    <a:blip r:embed="rId11"/>
                    <a:stretch>
                      <a:fillRect/>
                    </a:stretch>
                  </pic:blipFill>
                  <pic:spPr>
                    <a:xfrm>
                      <a:off x="0" y="0"/>
                      <a:ext cx="5419725" cy="2562225"/>
                    </a:xfrm>
                    <a:prstGeom prst="rect">
                      <a:avLst/>
                    </a:prstGeom>
                  </pic:spPr>
                </pic:pic>
              </a:graphicData>
            </a:graphic>
          </wp:inline>
        </w:drawing>
      </w:r>
    </w:p>
    <w:p>
      <w:pPr>
        <w:spacing w:line="360" w:lineRule="auto"/>
        <w:ind w:firstLine="600" w:firstLineChars="200"/>
        <w:rPr>
          <w:rFonts w:hint="eastAsia" w:ascii="宋体" w:hAnsi="宋体" w:eastAsia="宋体" w:cs="仿宋"/>
          <w:sz w:val="30"/>
          <w:szCs w:val="30"/>
          <w:lang w:eastAsia="zh-CN"/>
        </w:rPr>
      </w:pPr>
      <w:r>
        <w:rPr>
          <w:rFonts w:hint="eastAsia" w:ascii="宋体" w:hAnsi="宋体" w:eastAsia="宋体" w:cs="仿宋"/>
          <w:sz w:val="30"/>
          <w:szCs w:val="30"/>
          <w:lang w:eastAsia="zh-CN"/>
        </w:rPr>
        <w:t>内科专业基地各轮转科室按照《住院医师规范化培训内容与标准（2022年版）》培训细则要求执行，为每名培训对象安排并完成规定的病例书写及技能操作。2023年住培医师首次参加执业医师资格考试通过率为89%，结业考核通过率为100%。带教医师对住培医师除了专业知识要培养好，在医德医风和临床技能方面也要求严格，针对住培医师的不同轮转要求，采取不同形式的教学，并在教学活动中,体现分层递进的教学理念。</w:t>
      </w:r>
    </w:p>
    <w:p>
      <w:pPr>
        <w:spacing w:line="360" w:lineRule="auto"/>
        <w:ind w:firstLine="600" w:firstLineChars="200"/>
        <w:rPr>
          <w:rFonts w:hint="eastAsia" w:ascii="宋体" w:hAnsi="宋体" w:eastAsia="宋体" w:cs="仿宋"/>
          <w:sz w:val="30"/>
          <w:szCs w:val="30"/>
        </w:rPr>
      </w:pPr>
      <w:r>
        <w:rPr>
          <w:rFonts w:hint="eastAsia" w:ascii="宋体" w:hAnsi="宋体" w:eastAsia="宋体" w:cs="仿宋"/>
          <w:sz w:val="30"/>
          <w:szCs w:val="30"/>
          <w:lang w:eastAsia="zh-CN"/>
        </w:rPr>
        <w:t>在待遇方面，</w:t>
      </w:r>
      <w:r>
        <w:rPr>
          <w:rFonts w:hint="eastAsia" w:ascii="宋体" w:hAnsi="宋体" w:eastAsia="宋体" w:cs="仿宋"/>
          <w:sz w:val="30"/>
          <w:szCs w:val="30"/>
        </w:rPr>
        <w:t>住培医师与本院同等条件住院医师同等待遇，同时包含“五险一金”及各种补贴，享有国家法定节假日，实行奖学金制度，优秀者分等级奖励。取</w:t>
      </w:r>
      <w:bookmarkStart w:id="0" w:name="_GoBack"/>
      <w:bookmarkEnd w:id="0"/>
      <w:r>
        <w:rPr>
          <w:rFonts w:hint="eastAsia" w:ascii="宋体" w:hAnsi="宋体" w:eastAsia="宋体" w:cs="仿宋"/>
          <w:sz w:val="30"/>
          <w:szCs w:val="30"/>
        </w:rPr>
        <w:t>得处方权的住培医师独立值班的绩效由科室按医院规定发放。</w:t>
      </w:r>
    </w:p>
    <w:p>
      <w:pPr>
        <w:spacing w:line="360" w:lineRule="auto"/>
        <w:ind w:firstLine="600" w:firstLineChars="200"/>
        <w:rPr>
          <w:rFonts w:hint="eastAsia" w:ascii="宋体" w:hAnsi="宋体" w:eastAsia="宋体" w:cs="仿宋"/>
          <w:sz w:val="30"/>
          <w:szCs w:val="30"/>
          <w:lang w:eastAsia="zh-CN"/>
        </w:rPr>
      </w:pPr>
    </w:p>
    <w:p>
      <w:pPr>
        <w:spacing w:line="360" w:lineRule="auto"/>
        <w:rPr>
          <w:rFonts w:ascii="黑体" w:hAnsi="黑体" w:eastAsia="黑体" w:cs="黑体"/>
          <w:b/>
          <w:sz w:val="30"/>
          <w:szCs w:val="30"/>
        </w:rPr>
      </w:pPr>
      <w:r>
        <w:rPr>
          <w:rFonts w:hint="eastAsia" w:ascii="黑体" w:hAnsi="黑体" w:eastAsia="黑体" w:cs="黑体"/>
          <w:b/>
          <w:sz w:val="30"/>
          <w:szCs w:val="30"/>
        </w:rPr>
        <w:t>三、咨询联系方式</w:t>
      </w:r>
    </w:p>
    <w:p>
      <w:pPr>
        <w:spacing w:line="360" w:lineRule="auto"/>
        <w:ind w:firstLine="1644" w:firstLineChars="546"/>
        <w:rPr>
          <w:rFonts w:ascii="黑体" w:hAnsi="黑体" w:eastAsia="黑体" w:cs="黑体"/>
          <w:b/>
          <w:sz w:val="30"/>
          <w:szCs w:val="30"/>
        </w:rPr>
      </w:pPr>
      <w:r>
        <w:rPr>
          <w:rFonts w:hint="eastAsia" w:ascii="黑体" w:hAnsi="黑体" w:eastAsia="黑体" w:cs="黑体"/>
          <w:b/>
          <w:sz w:val="30"/>
          <w:szCs w:val="30"/>
        </w:rPr>
        <w:t>专业基地联系人及电话：</w:t>
      </w:r>
      <w:r>
        <w:rPr>
          <w:rFonts w:hint="eastAsia" w:ascii="黑体" w:hAnsi="黑体" w:eastAsia="黑体" w:cs="黑体"/>
          <w:b/>
          <w:sz w:val="30"/>
          <w:szCs w:val="30"/>
          <w:lang w:eastAsia="zh-CN"/>
        </w:rPr>
        <w:t>李老师</w:t>
      </w:r>
      <w:r>
        <w:rPr>
          <w:rFonts w:hint="eastAsia" w:ascii="黑体" w:hAnsi="黑体" w:eastAsia="黑体" w:cs="黑体"/>
          <w:b/>
          <w:sz w:val="30"/>
          <w:szCs w:val="30"/>
        </w:rPr>
        <w:t xml:space="preserve">    0751-6913013</w:t>
      </w:r>
    </w:p>
    <w:p>
      <w:pPr>
        <w:spacing w:line="360" w:lineRule="auto"/>
        <w:ind w:firstLine="1795" w:firstLineChars="596"/>
        <w:rPr>
          <w:rFonts w:asciiTheme="minorEastAsia" w:hAnsiTheme="minorEastAsia"/>
          <w:b/>
          <w:sz w:val="36"/>
        </w:rPr>
      </w:pPr>
      <w:r>
        <w:rPr>
          <w:rFonts w:hint="eastAsia" w:ascii="黑体" w:hAnsi="黑体" w:eastAsia="黑体" w:cs="黑体"/>
          <w:b/>
          <w:sz w:val="30"/>
          <w:szCs w:val="30"/>
        </w:rPr>
        <w:t>教学科联系人及电话：  季老师    0751-6913515</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1425501"/>
      <w:docPartObj>
        <w:docPartGallery w:val="autotext"/>
      </w:docPartObj>
    </w:sdtPr>
    <w:sdtContent>
      <w:sdt>
        <w:sdtPr>
          <w:id w:val="171357217"/>
          <w:docPartObj>
            <w:docPartGallery w:val="autotext"/>
          </w:docPartObj>
        </w:sdtPr>
        <w:sdtContent>
          <w:p>
            <w:pPr>
              <w:pStyle w:val="3"/>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4</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6</w:t>
            </w:r>
            <w:r>
              <w:rPr>
                <w:b/>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DA0ZTc2YjgxZjVjZTcwN2I0NTUyM2VlMGQ0MGVhNDAifQ=="/>
  </w:docVars>
  <w:rsids>
    <w:rsidRoot w:val="00CA1A6E"/>
    <w:rsid w:val="001B7082"/>
    <w:rsid w:val="002C1B18"/>
    <w:rsid w:val="003314DF"/>
    <w:rsid w:val="004B1929"/>
    <w:rsid w:val="005A66C1"/>
    <w:rsid w:val="0063271A"/>
    <w:rsid w:val="006F4642"/>
    <w:rsid w:val="00777A89"/>
    <w:rsid w:val="007D1B17"/>
    <w:rsid w:val="008A0367"/>
    <w:rsid w:val="00921464"/>
    <w:rsid w:val="00CA1A6E"/>
    <w:rsid w:val="00CA5512"/>
    <w:rsid w:val="00CD21D3"/>
    <w:rsid w:val="00D22F5A"/>
    <w:rsid w:val="00E458E2"/>
    <w:rsid w:val="00E572D6"/>
    <w:rsid w:val="00EB0F56"/>
    <w:rsid w:val="00F44C7D"/>
    <w:rsid w:val="00FC0496"/>
    <w:rsid w:val="00FE2F5B"/>
    <w:rsid w:val="0D412296"/>
    <w:rsid w:val="21120376"/>
    <w:rsid w:val="221815D2"/>
    <w:rsid w:val="24DD0D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semiHidden/>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8">
    <w:name w:val="页眉 Char"/>
    <w:basedOn w:val="7"/>
    <w:link w:val="4"/>
    <w:semiHidden/>
    <w:uiPriority w:val="99"/>
    <w:rPr>
      <w:sz w:val="18"/>
      <w:szCs w:val="18"/>
    </w:rPr>
  </w:style>
  <w:style w:type="character" w:customStyle="1" w:styleId="9">
    <w:name w:val="页脚 Char"/>
    <w:basedOn w:val="7"/>
    <w:link w:val="3"/>
    <w:uiPriority w:val="99"/>
    <w:rPr>
      <w:sz w:val="18"/>
      <w:szCs w:val="18"/>
    </w:rPr>
  </w:style>
  <w:style w:type="character" w:customStyle="1" w:styleId="10">
    <w:name w:val="批注框文本 Char"/>
    <w:basedOn w:val="7"/>
    <w:link w:val="2"/>
    <w:semiHidden/>
    <w:uiPriority w:val="99"/>
    <w:rPr>
      <w:sz w:val="18"/>
      <w:szCs w:val="18"/>
    </w:rPr>
  </w:style>
  <w:style w:type="paragraph" w:styleId="1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6</Pages>
  <Words>226</Words>
  <Characters>1291</Characters>
  <Lines>10</Lines>
  <Paragraphs>3</Paragraphs>
  <TotalTime>4</TotalTime>
  <ScaleCrop>false</ScaleCrop>
  <LinksUpToDate>false</LinksUpToDate>
  <CharactersWithSpaces>1514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2023-11-28T01:26:00Z</dcterms:created>
  <dc:creator>微软用户</dc:creator>
  <cp:lastModifiedBy>小姣</cp:lastModifiedBy>
  <dcterms:modified xsi:type="dcterms:W3CDTF">2023-11-28T12:31:56Z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887BBAFC8C0845ED85830F58CE416065_12</vt:lpwstr>
  </property>
</Properties>
</file>